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CAPACITAÇÃO DA EQUIPE — CADASTRO DE CLIENTES · REDE D1000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PROFARMA01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CAP-PROFARMA01-001 — Registro de Capacitação da Equipe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composição da equipe alocada ao projeto Cadastro de Clientes — Rede D1000, as competências exigidas por papel, as trilhas de capacitação conduzidas e as evidências de competência demonstradas ao longo do desenvolvimento (Sprints 1–19), em aderência ao processo de Capacitação (CAP) do MR-MPS-SW:2024 Nível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Equipe alocada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 (papel)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— Gerente de Projeto (gestão; não codifica)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1–19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— Tech Lead / DevOps / Arquiteto (revisor de PR)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1–19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 — Dev Backend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1–19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— Dev Backend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1–19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— Dev Backend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(50%)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13–19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— QA / Automação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(40%)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15–19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— GQA independente (auditoria de processo; não codifica)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Pontual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função de </w:t>
      </w:r>
      <w:r>
        <w:rPr>
          <w:rFonts w:ascii="Calibri" w:hAnsi="Calibri"/>
          <w:b/>
          <w:i w:val="0"/>
          <w:color w:val="1A5276"/>
          <w:sz w:val="22"/>
        </w:rPr>
        <w:t>QA</w:t>
      </w:r>
      <w:r>
        <w:rPr>
          <w:rFonts w:ascii="Calibri" w:hAnsi="Calibri"/>
          <w:b w:val="0"/>
          <w:i w:val="0"/>
          <w:color w:val="1A5276"/>
          <w:sz w:val="22"/>
        </w:rPr>
        <w:t xml:space="preserve"> (Caroline — execução de testes e automação) é distinta da função de </w:t>
      </w:r>
      <w:r>
        <w:rPr>
          <w:rFonts w:ascii="Calibri" w:hAnsi="Calibri"/>
          <w:b/>
          <w:i w:val="0"/>
          <w:color w:val="1A5276"/>
          <w:sz w:val="22"/>
        </w:rPr>
        <w:t>GQA</w:t>
      </w:r>
      <w:r>
        <w:rPr>
          <w:rFonts w:ascii="Calibri" w:hAnsi="Calibri"/>
          <w:b w:val="0"/>
          <w:i w:val="0"/>
          <w:color w:val="1A5276"/>
          <w:sz w:val="22"/>
        </w:rPr>
        <w:t xml:space="preserve"> (Jonathan Barbosa — auditoria independente de processo). O GP (Abraão) e a GQA (Jonathan) atuam fora do fluxo de codificação.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Competências exigidas por papel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Competências técnicas exigidas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(Abraão Oliveira)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projeto e MPS-SW Nível C (GPR, REQ, PCP, ITP, VV, GCO, MED, GDE, CAP, GQA/GPC); gestão de escopo e aprovação de change requests (CR); planejamento e medição por sprint; comunicação formal com 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 (Cézar Hiraki Velázquez)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Clean Architecture em .NET 8 (Domain/Application/Infrastructure/API); PostgreSQL no Azure (Flexible Server); Azure Kubernetes Service (AKS) e Docker; pipelines Azure DevOps (build, testes, análise estática); observabilidade (Datadog APM, Prometheus/Grafana); Azure Key Vault; e </w:t>
            </w:r>
            <w:r>
              <w:rPr>
                <w:rFonts w:ascii="Calibri" w:hAnsi="Calibri"/>
                <w:b/>
                <w:i w:val="0"/>
                <w:sz w:val="20"/>
              </w:rPr>
              <w:t>aprovação de PR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como revisor (Tech Lead)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 (Mateus Veloso, Raony Chagas)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.NET 8 / C#; EF Core (escrita) e Dapper (leitura) — padrão CQRS light; Outbox pattern com worker de polling (integração ITEC); Azure Service Bus com worker dedicado (Propz CRM); integrações REST (VTEX, Call Center, PBM, BlueSoft, CloseUp); autenticação API Key + OAuth 2.0; validação de CPF e deduplicação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 (Lucas Batista)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.NET 8 / C# backend; correções e PRs finais; apoio às integrações e ao worker de anonimização LGPD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Automação (Caroline Sousa)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 xUnit (273 cenários); análise de cobertura (≥ 80%; resultado 84%); apoio à execução dos cenários de homologação; testes de regressão e de performance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(Jonathan Barbosa)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GQA/GPC e MPS-SW; condução de auditoria independente de processo por fase; verificação de não conformidades e ações corretivas; aderência ao processo-padrão Timeware (não codifica e não executa testes)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Trilhas de capacitação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Trilha / sessão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Público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Backend — .NET 8 / Clean Architecture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Veloso, Raony Chagas, 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Camadas Domain/Application/Infrastructure/API; CPF como chave primária (VARCHAR(11)); validação de dígitos verificadores; auditoria e LGPD (inativação lógica e worker de expurgo)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de Dados — PostgreSQL / CQRS light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Veloso, 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PostgreSQL Flexible Server; EF Core (escrita) + Dapper (leitura SQL parametrizado); índices para o SLA p95 ≤ 200 ms; migrations e baseline de schema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de Integração Assíncrona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Veloso, 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Outbox pattern com worker de polling e backoff exponencial (ITEC, at-least-once); Azure Service Bus com worker dedicado e dead-letter (Propz CRM); contratos REST (VTEX, Call Center, PBM, BlueSoft, CloseUp)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Arquitetura e DevOps —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cloud-native (AKS, Service Bus, Key Vault); pipelines Azure DevOps (build + xUnit + análise estática + publicação Docker); Git Flow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feature/* → develop → release/* → main</w:t>
            </w:r>
            <w:r>
              <w:rPr>
                <w:rFonts w:ascii="Calibri" w:hAnsi="Calibri"/>
                <w:b w:val="0"/>
                <w:i w:val="0"/>
                <w:sz w:val="20"/>
              </w:rPr>
              <w:t>); baselines/tags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YY.MM.N.PATCH</w:t>
            </w:r>
            <w:r>
              <w:rPr>
                <w:rFonts w:ascii="Calibri" w:hAnsi="Calibri"/>
                <w:b w:val="0"/>
                <w:i w:val="0"/>
                <w:sz w:val="20"/>
              </w:rPr>
              <w:t>); observabilidade Datadog/Prometheus; revisão e aprovação de PR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QA / V&amp;V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 xUnit, cobertura ≥ 80%, cenários de homologação (PDV, Balcão, OMNI, Call Center, Propz), testes de performance (500 req/s) e de regressão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de Processo — MPS-SW Nível 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 a equipe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PCP, ITP, VV, GCO, MED, GDE, CAP e GQA(GPC); política de revisão de código (1 revisor padrão / 2 para mudanças críticas), segregação de aprovação, rastreabilidade e medição por sprint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Integração e disseminação de conhecimento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entrada de novos integrantes ao longo do projeto foi apoiada por transferência de contexto: </w:t>
      </w:r>
      <w:r>
        <w:rPr>
          <w:rFonts w:ascii="Calibri" w:hAnsi="Calibri"/>
          <w:b/>
          <w:i w:val="0"/>
          <w:sz w:val="22"/>
        </w:rPr>
        <w:t>Lucas Batista</w:t>
      </w:r>
      <w:r>
        <w:rPr>
          <w:rFonts w:ascii="Calibri" w:hAnsi="Calibri"/>
          <w:b w:val="0"/>
          <w:i w:val="0"/>
          <w:sz w:val="22"/>
        </w:rPr>
        <w:t xml:space="preserve"> integrou-se ao squad no Sprint 13 (apoio ao desenvolvimento e PRs finais) e </w:t>
      </w:r>
      <w:r>
        <w:rPr>
          <w:rFonts w:ascii="Calibri" w:hAnsi="Calibri"/>
          <w:b/>
          <w:i w:val="0"/>
          <w:sz w:val="22"/>
        </w:rPr>
        <w:t>Caroline Sousa</w:t>
      </w:r>
      <w:r>
        <w:rPr>
          <w:rFonts w:ascii="Calibri" w:hAnsi="Calibri"/>
          <w:b w:val="0"/>
          <w:i w:val="0"/>
          <w:sz w:val="22"/>
        </w:rPr>
        <w:t xml:space="preserve"> no Sprint 15 (QA/automação e homologação). A disseminação contínua de conhecimento foi sustentada pelas práticas abaixo.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Prática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código (code review)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Merge Requests com aprovação do Tech Lead (Cézar) e segregação autor≠revisor — garante ciência das mudanças pela equipe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Cerimônias de sprint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Planning, daily (11h30 Teams), review e retrospectiva por sprint, com decisões técnicas compartilhadas e registradas (ATAs)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API (Swagger/OpenAPI gerada automaticamente), documento de design (PCP), registro de decisões de arquitetura (GDE-001 a GDE-005) e migrations de banco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GQA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independentes de processo por fase (GQA-P01 Sprint 5, GQA-P02 homologação, GQA-P03 encerramento), conduzidas por Jonathan Barbosa — reforçando a aderência ao processo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Evidências de competência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de competência demonstrada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Arquitetura Clean Architecture .NET 8 aprovada (REV-001); decisões GDE-001 a GDE-004; pipelines CI/CD e baselines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25.12.1.1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26.1.1.1</w:t>
            </w:r>
            <w:r>
              <w:rPr>
                <w:rFonts w:ascii="Calibri" w:hAnsi="Calibri"/>
                <w:b w:val="0"/>
                <w:i w:val="0"/>
                <w:sz w:val="20"/>
              </w:rPr>
              <w:t>; aprovação de PRs como revisor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core e integrações entregues; Outbox ITEC e worker Propz; consolidação do histórico de tickets de defeitos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(VTEX, Call Center, BlueSoft, CloseUp) e PRs finais (correções de teste no fechamento)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de anonimização LGPD e PRs de apoio nas fases finais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 testes unitários (84% de cobertura) e apoio aos cenários de homologação sem defeitos S1 no aceite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auditorias de processo concluídas (2 não conformidades menores identificadas e resolvidas); parecer final de conformidade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dos 19 sprints; aprovação dos 12 change requests; comunicação formal e aceite do cliente (29/01/2026)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Parecer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demonstrou as competências exigidas para os papéis ao longo do projeto, com capacitação técnica aderente ao stack (.NET 8, PostgreSQL/Azure, integrações assíncronas) e ao processo MPS-SW Nível C. As competências foram evidenciadas pelos artefatos de projeto (PCP, GDE, REV, REL-VV) e pelas entregas concluídas, sem lacunas de capacitação que tenham comprometido o cronograma ou a qualidade.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consolidando a composição da equipe, as competências por papel, as trilhas de capacitação e as evidências de competência do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PROFARMA01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