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AO PROCESSO-PADRÃO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formalmente as adaptações realizadas ao processo-padrão Timeware para a execução do projeto AASP01 — Grupos de Usuários (ms.auxo.gruposusuarios). As adaptações descritas neste documento foram avaliadas e aprovadas pelo Gerente de Projeto antes do inicio das atividades de desenvolvimento, conforme exigido pelo processo de Adaptação (ADAP) do modelo MPS-SW nível C.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adaptação foi motivada por restrições reais de contexto — equipe enxuta, legado não documentado, restrições do cliente — e não implica redução de qualidade nos produtos entregues. Os mecanismos de mitigação associados a cada adaptação garantem que os objetivos do processo-padrão sejam atingidos por meios alternativos.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Adaptações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do processo-padrão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de adaptação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completa de requisitos antes do inicio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iterativo de requisitos sprint a sprint, com baseline ao final de cada sprint aceita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auxo3 legado com schema não documentado; requisitos precisaram ser descobertos explorando o banco e o código existente do Gerenciador. Impossível elicitar todos os requisitos upfront sem acesso ao ambiente de produção.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Planning formal documentada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S1 e S2 conduzidas com planejamento ágil via Microsoft Teams e notas informais; formalização completa a partir da S3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 composta por 3 desenvolvedores (Renan Kiyoshi, Henry Komatsu e Mateus Veloso); overhead documental de um planning formal nas primeiras sprints comprometia a cadência de entrega dentro do prazo contratado.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integração completo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(ITP-AASP01-001) definido iterativamente; detalhes do contrato de API acordados no inicio da 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contrato de API do microsserviço ms.temis.vinculos (banco temis3) foi disponibilizado pelo time do cliente somente no inicio da Sprint 2 (09/06/2026); especificação previa seria baseada em suposições sem validade.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independente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AASP disponibilizado somente a partir da Sprint 2 (09/06/2026); Sprint 1 executada com banco local SQL Server Express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imposta pelo cliente AASP; o time da AASP precisava preparar o ambiente de homologação em paralelo ao desenvolvimento. O time Timeware trabalhou com instancia local para não bloquear entregas.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conduzidos exclusivamente pela equipe de desenvolvimento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Co-responsabilidade nos testes de aceite: Caroline Sousa (QA Timeware) + Leonardo Francisco Pereira (QA AASP); roteiros revisados e executados em 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AASP exigiu participação direta nos testes de aceite como condição contratual. Os roteiros foram revisados em conjunto (CTQ-AASP01-001) e os resultados registrados formalmente (REL-VV-AASP01-001).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Construção e Produção (PCP) com especificações de baixo nível completas antes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elaborado no nível de decisões arquiteturais e padrões de implementação; detalhes de baixo nível registrados nos Merge Requests !1 a !5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duplicar especificações de baixo nível no PCP e nos MRs geraria retrabalho documental sem agregar valor. Os MRs do GitLab servem como documentação viva, rastreável e revisada.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com dois revisores independentes para cada Merge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único (Cezar Hiraki como Tech Lead) nos MRs de código critico; revisão cruzada entre os desenvolvedores (Renan, Henry e Mateus Veloso) nos MRs de menor risco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3 desenvolvedores; exigir dois revisores independentes inviabilizaria o fluxo de trabalho. Cezar Hiraki revisa todos os MRs dos desenvolvedores. Gate de CI/CD obrigatório compensa parcialmente a redução de revisores.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Papeis separados de Gerente de Projeto, GCO, Arquiteto e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acumula os papeis de Arquiteto, Tech Lead, DevOps, Revisor e GCO; a Gerência de Projeto e exercida por 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previsto para equipe enxuta de desenvolvimento; acumulo de papeis por Cezar Hiraki viabiliza a operação dentro do orçamento contratado. As responsabilidades de cada papel são exercidas formalmente, ainda que pela mesma pessoa.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sem adaptação (processo-padrão mantido integralmente)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seguiram o processo-padrão Timeware sem qualquer adaptação: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versão com Git</w:t>
      </w:r>
      <w:r>
        <w:rPr>
          <w:rFonts w:ascii="Calibri" w:hAnsi="Calibri"/>
          <w:b w:val="0"/>
          <w:i w:val="0"/>
          <w:sz w:val="22"/>
        </w:rPr>
        <w:t>: todo código versionado no GitLab; branching Git Flow (main / develop / feature/ag-{id} / release/*) aplicado desde o primeiro commit.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Merge Request obrigatório para merge</w:t>
      </w:r>
      <w:r>
        <w:rPr>
          <w:rFonts w:ascii="Calibri" w:hAnsi="Calibri"/>
          <w:b w:val="0"/>
          <w:i w:val="0"/>
          <w:sz w:val="22"/>
        </w:rPr>
        <w:t>: nenhum código integrado a develop ou main sem MR aprovado, independentemente do tamanho da mudança.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unitarios como gate de CI</w:t>
      </w:r>
      <w:r>
        <w:rPr>
          <w:rFonts w:ascii="Calibri" w:hAnsi="Calibri"/>
          <w:b w:val="0"/>
          <w:i w:val="0"/>
          <w:sz w:val="22"/>
        </w:rPr>
        <w:t>: pipeline GitLab CI bloqueia merge se testes unitarios falharem; cobertura monitorada a cada sprint.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Registro de riscos</w:t>
      </w:r>
      <w:r>
        <w:rPr>
          <w:rFonts w:ascii="Calibri" w:hAnsi="Calibri"/>
          <w:b w:val="0"/>
          <w:i w:val="0"/>
          <w:sz w:val="22"/>
        </w:rPr>
        <w:t>: RAC-AASP01-001 mantido e atualizado com riscos identificados, probabilidade, impacto e ações de mitigação.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Comunicação semanal com o cliente</w:t>
      </w:r>
      <w:r>
        <w:rPr>
          <w:rFonts w:ascii="Calibri" w:hAnsi="Calibri"/>
          <w:b w:val="0"/>
          <w:i w:val="0"/>
          <w:sz w:val="22"/>
        </w:rPr>
        <w:t>: reuniões de acompanhamento com Marcos Turnes (PO AASP) realizadas semanalmente durante toda a execução do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requisitos-testes</w:t>
      </w:r>
      <w:r>
        <w:rPr>
          <w:rFonts w:ascii="Calibri" w:hAnsi="Calibri"/>
          <w:b w:val="0"/>
          <w:i w:val="0"/>
          <w:sz w:val="22"/>
        </w:rPr>
        <w:t>: matriz RASTR-AASP01-001 mantida associando cada requisito (AG-20 a AG-25) aos casos de teste e MRs correspondentes.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Formalização de Change Requests</w:t>
      </w:r>
      <w:r>
        <w:rPr>
          <w:rFonts w:ascii="Calibri" w:hAnsi="Calibri"/>
          <w:b w:val="0"/>
          <w:i w:val="0"/>
          <w:sz w:val="22"/>
        </w:rPr>
        <w:t>: qualquer mudança de escopo registrada em CR-AASP01-001 antes de ser implementada.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Baselines de configuração</w:t>
      </w:r>
      <w:r>
        <w:rPr>
          <w:rFonts w:ascii="Calibri" w:hAnsi="Calibri"/>
          <w:b w:val="0"/>
          <w:i w:val="0"/>
          <w:sz w:val="22"/>
        </w:rPr>
        <w:t>: baselines BL-01 (TAP aprovado, 19/05/2026) e BL-02 (aceite Sprint 1, 06/06/2026) formalizadas conforme processo GCO.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Impacto das adaptações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identificado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Mitigação adotada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retrabalho por requisitos descobertos tardiamente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semanais com PO Marcos Turnes para validar requisitos emergentes; backlog ajustado a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menos formal nas primeiras sprints pode gerar lacunas de estimativa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revisou estimativas ao final de cada sprint e ajustou o PLA-AASP01-001; formalização completa a partir da S3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 integração com temis iniciada sem contrato definitivo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Interfaces de integração projetadas com baixo acoplamento; adaptação ao contrato real custou apenas ajuste de payload na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de ambiente não detectados na Sprint 1 por ausência de homologação real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com cobertura estimada de 85% (22/26 métodos); bugs de ambiente identificados e corrigidos no inicio da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esforço de coordenação entre Timeware e AASP nos ciclos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(CTQ-AASP01-001) preparados com antecedência; sessões de teste agendadas com Leonardo Francisco Pereira; resultados registrados formalmente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como única fonte de especificação de baixo nível aumenta dependência do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exportados como PDF e arquivados no pacote documental MPS-SW a cada baseline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 diversidade de perspectivas no code review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CI/CD obrigatório (build + testes + análise estática SonarQube); checklist de code review padrão Timeware aplicado em todos os MRs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Acumulo de papeis por Cezar Hiraki aumenta risco de sobrecarga e ponto único de falha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Cronograma previsto com buffer de 20%; Renan Kiyoshi preparado para assumir atividades de GCO em caso de indisponibilidade de Cezar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