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1.1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precisa de uma camada de acesso ao banco SQL Server (auxo3). O projeto Gerenciador da AASP usa .NET Framework 4.7.2 como target framework. A escolha do ORM e uma decisão arquitetural com impacto em toda a camada de dados do microsserviço, afetando performance, manutenção, compatibilidade e consistência com o restante do projeto.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Framework 4.7.2; alto desempenho em operações de leitura e escrita; baixo overhead de memória e CPU; já utilizado em outros módulos do Gerenciador AASP como padrão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abstração via LINQ e DbContext; suporte ao .NET Framework 4.7.2 e apenas experimental via netstandard2.0, podendo apresentar comportamentos inesperados; curva de aprendizado de migrations e DbContext; overhead maior em queries simples comparado ao Dapper; geração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máximo controle sobre as queries; verboso e com alto custo de manutenção para operações CRUD; requer muito código boilerplate para cada operação; não oferece vantagem real sobre Dapper para este cenário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plena com .NET Framework 4.7.2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padrão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operações de leitura (listagem de grupos, relatórios)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manutenção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FW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suporte oficial e estavel para .NET Framework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suporte apenas via netstandard2.0; pode apresentar comportamentos inesperados em runtime com .NET FW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ADO.NET e nativo do .NET Framework em qualquer versão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já e o padrão adotado nos outros módulos do Gerenciador AASP; equipe conhece o padrão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exceção no projeto, introduzindo um segundo padrão de acesso a dados sem justificativa técnica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possível de usar, mas introduz verbosidade e diferenca de estilo em relação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tradução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otimizações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Manutenção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código; fácil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difícil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código muito verboso para CRUD básico; alto custo de manutenção para operações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trabalha com Dapper nos outros módulos;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compatibilidade plena com .NET Framework 4.7.2 e a consistência com o padrão existente do Gerenciador AASP foram os fatores determinantes. O suporte do EF Core ao .NET Framework e apenas via netstandard2.0, introduzindo risco técnico desnecessario em um projeto de produção. O Dapper oferece performance superior em queries de leitura, e a equipe já possui experiência consolidada com o micro-ORM nos outros módulos do projeto, eliminando curva de aprendizado e garantindo consistência arquitetural. A alternativa C (ADO.NET puro) foi descartada por não oferecer vantagem real sobre o Dapper para este cenário, com custo de manutenção significativamente maior.</w:t>
      </w:r>
    </w:p>
    <w:p>
      <w:pPr>
        <w:pStyle w:val="Heading2"/>
        <w:keepNext/>
        <w:keepLines/>
      </w:pPr>
      <w:r>
        <w:t>6. Impacto e riscos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repositório do ms.auxo.gruposusuarios usara Dapper com queries SQL explicitas; migrations e alterações de schema serão gerenciadas por scripts .sql versionados no repositório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repositório em comparação com EF Core para operações simples; mitigado pela consistência com o padrão do projeto e pela experiência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Decisão validada por:</w:t>
      </w:r>
      <w:r>
        <w:rPr>
          <w:rFonts w:ascii="Calibri" w:hAnsi="Calibri"/>
          <w:b w:val="0"/>
          <w:i w:val="0"/>
          <w:sz w:val="22"/>
        </w:rPr>
        <w:t xml:space="preserve"> Cezar Hiraki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Estratégia de exclusão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Ao excluir um grupo de usuários, e necessário decidir se o registro e removido fisicamente do banco (hard delete via DELETE SQL) ou apenas marcado como excluido (soft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 A decisão impacta integridade referencial das tabelas relacionadas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permanece fisicamente no banco;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definido como 1 na operação de exclusão; todas as queries de listagem filtram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>; histórico de dados preservado; integridade referencial com as tabelas relacionadas mantida sem cascata de deleções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(exclusão física)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implementação mais simples; perde o histórico do grupo; pode causar registros orfaos nas tabelas relacionadas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>), a menos que se implemente CASCADE DELETE ou exclusão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preservação do histórico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Excelente — os registros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permanecem integros; histórico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nas tabelas relacionadas ou exclusão manual em cascata; histórico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excluidos podem ser consultados para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relacionados ficam orfaos após hard delete;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validado — não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Media — requer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 filtro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simples; porém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ms.auxo.gruposusuarios — grupos possuem histórico de vinculos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 e de funções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que não devem ser perdidos. O hard delete exigiria cascata de exclusões ou geraria registros orfaos nas tabelas relacionadas, comprometendo a rastreabilidade exigida pelo processo MPS-SW. O soft delete preserva o histórico completo, e compativel com o requisito de auditoria (AG-23 — planejado para a Sprint 2) e alinhado com a rastreabilidade exigida pelo MPS-SW nível C. Decisão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`grupos_usuarios`: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 xml:space="preserve"> (0 = ativo, 1 = excluido) e </w:t>
      </w:r>
      <w:r>
        <w:rPr>
          <w:rFonts w:ascii="Courier New" w:hAnsi="Courier New"/>
          <w:b w:val="0"/>
          <w:i w:val="0"/>
          <w:color w:val="333333"/>
          <w:sz w:val="20"/>
        </w:rPr>
        <w:t>data_exclusao</w:t>
      </w:r>
      <w:r>
        <w:rPr>
          <w:rFonts w:ascii="Calibri" w:hAnsi="Calibri"/>
          <w:b w:val="0"/>
          <w:i w:val="0"/>
          <w:sz w:val="22"/>
        </w:rPr>
        <w:t xml:space="preserve"> usados para o soft delete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`excluirgrupo`:</w:t>
      </w:r>
      <w:r>
        <w:rPr>
          <w:rFonts w:ascii="Calibri" w:hAnsi="Calibri"/>
          <w:b w:val="0"/>
          <w:i w:val="0"/>
          <w:sz w:val="22"/>
        </w:rPr>
        <w:t xml:space="preserve"> executa </w:t>
      </w:r>
      <w:r>
        <w:rPr>
          <w:rFonts w:ascii="Courier New" w:hAnsi="Courier New"/>
          <w:b w:val="0"/>
          <w:i w:val="0"/>
          <w:color w:val="333333"/>
          <w:sz w:val="20"/>
        </w:rPr>
        <w:t>UPDATE grupos_usuarios SET excluido = 1, data_exclusao = GETDATE() WHERE id = @id</w:t>
      </w:r>
      <w:r>
        <w:rPr>
          <w:rFonts w:ascii="Calibri" w:hAnsi="Calibri"/>
          <w:b w:val="0"/>
          <w:i w:val="0"/>
          <w:sz w:val="22"/>
        </w:rPr>
        <w:t xml:space="preserve"> — não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 filtram </w:t>
      </w:r>
      <w:r>
        <w:rPr>
          <w:rFonts w:ascii="Courier New" w:hAnsi="Courier New"/>
          <w:b w:val="0"/>
          <w:i w:val="0"/>
          <w:color w:val="333333"/>
          <w:sz w:val="20"/>
        </w:rPr>
        <w:t>WHERE excluido = 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estratégia se aplica 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faz </w:t>
      </w:r>
      <w:r>
        <w:rPr>
          <w:rFonts w:ascii="Courier New" w:hAnsi="Courier New"/>
          <w:b w:val="0"/>
          <w:i w:val="0"/>
          <w:color w:val="333333"/>
          <w:sz w:val="20"/>
        </w:rPr>
        <w:t>UPDATE ... SET excluido = 1</w:t>
      </w:r>
      <w:r>
        <w:rPr>
          <w:rFonts w:ascii="Calibri" w:hAnsi="Calibri"/>
          <w:b w:val="0"/>
          <w:i w:val="0"/>
          <w:sz w:val="22"/>
        </w:rPr>
        <w:t>, não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decisões GDE-001 (Dapper) e GDE-002 (Soft Delete) tomadas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GDE-002 alinhado ao schema real (soft delete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