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/ VAL — Verificação e Validação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estratégia e as atividades de Verificação e Validação (V&amp;V) do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técnico)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</w:t>
      </w:r>
      <w:r>
        <w:rPr>
          <w:rFonts w:ascii="Calibri" w:hAnsi="Calibri"/>
          <w:b w:val="0"/>
          <w:i w:val="0"/>
          <w:sz w:val="22"/>
        </w:rPr>
        <w:t>: atende as necessidades reais do negocio AASP, conforme acordado com o Product Owner Marcos Turnes e validado por Leonardo Francisco Pereira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S3) e constitui evidência obrigatória dos processos VER e VAL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unitarios realizados durante o desenvolvimento (nível de método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integração com banco de dados (e, quando implementada na Sprint 2, com o microserviço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técnico (peer review) em Merge Requests no GitLab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homologação (UAT) executados por Leonardo Francisco Pereira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Renan Kiyoshi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adequada na camada de serviço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GerenciarGruposServices</w:t>
            </w:r>
            <w:r>
              <w:rPr>
                <w:rFonts w:ascii="Calibri" w:hAnsi="Calibri"/>
                <w:b w:val="0"/>
                <w:i w:val="0"/>
                <w:sz w:val="20"/>
              </w:rPr>
              <w:t>) e repositório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GerenciarGruposRepositorio</w:t>
            </w:r>
            <w:r>
              <w:rPr>
                <w:rFonts w:ascii="Calibri" w:hAnsi="Calibri"/>
                <w:b w:val="0"/>
                <w:i w:val="0"/>
                <w:sz w:val="20"/>
              </w:rPr>
              <w:t>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criticos da Sprint 1 (CRUD de grupos, função do usuário, vinculo usuário-grupo) executados sem falha. Integração com ms.temis.vinculos será coberta na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 + checklist de revisão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aberto; build + testes unitarios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aprovado formalmente por Cezar Hiraki (Tech Lead); todos os achados P1 e P2 resolvidos antes da 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MR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 (200/400) e envelope padrão; autenticação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Cezar Hiraki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disponível; roteiros de teste aprovados; build deployado em homolog.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cenários criticos aprovados; todos os cenários P1 (criticos)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com &gt;= 95% aprovação; relatório de execução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por Marcos Turnes; versão do entregavel congelada no repositório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unitarios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70% nas camadas de serviço e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RNF-05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homologação aprovados (criticos)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criticos (P1) em produção ou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de grupos; AG-21: função do usuário no grupo; AG-22: vinculo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Testes unitarios AG-20, AG-21, AG-22; code review MRs !1, !2, !3, !4, !5; testes de sistema via Swagger (endpoints GET/POST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UAT Leonardo Francisco Pereira (10 cenários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ações; AG-24: integração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AG-23, AG-24; testes de integração ms.temis.vinculos (mock + real); code review MRs !6, !7 (previstos);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relatório consolidado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AG-25; testes de sistema (Swagger + Postman); UAT (Leonardo Francisco Pereira) com regressão de AG-20 a AG-25; preparação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 +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Entrada e Saida por Sprint</w:t>
      </w:r>
    </w:p>
    <w:p>
      <w:pPr>
        <w:pStyle w:val="Heading2"/>
        <w:keepNext/>
        <w:keepLines/>
      </w:pPr>
      <w:r>
        <w:t>Critérios de Entrada (para inicio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Build sem erros + todos os testes unitarios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Merge Request aberto no GitLab com descrição das mudanças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aplicavel) validados em banco local</w:t>
      </w:r>
    </w:p>
    <w:p>
      <w:pPr>
        <w:pStyle w:val="Heading2"/>
        <w:keepNext/>
        <w:keepLines/>
      </w:pPr>
      <w:r>
        <w:t>Critérios de Saida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unitarios passando; cobertura conforme meta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integração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Cezar Hiraki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Leonardo Francisco Pereira com &gt;= 95% de aprovação (100% dos cenários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 Encontrados</w:t>
      </w:r>
    </w:p>
    <w:p>
      <w:pPr>
        <w:pStyle w:val="Heading2"/>
        <w:keepNext/>
        <w:keepLines/>
      </w:pPr>
      <w:r>
        <w:t>6.1 Classificação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Critico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disponível ou impacto limitado a cenário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Inconsistência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Gestão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comentário no MR com severidade e descrição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Leonardo Francisco Pereira no GitLab Issues com ID, descrição, severidade e evidência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resolução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Cezar Hiraki verifica a correção antes de re-aprovar o MR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Histórico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MR / Referência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(RV-001-02)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(RV-002-01)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REV-S1-05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REV-AASP01-001 (RV-003-02)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disponível em REV-AASP01-001 (Registro de Revisão Técnica). Nenhum defeito aberto em produção ou homologação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pela Manutenção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e de integração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documentação automática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coleção de endpoints exportavel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Merge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qualidade, rastreabilidade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unitarios e de integração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plano de V&amp;V elaborado no inicio da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Alinhado a API real (endpoints GET/POST 200/400; função do usuário), 3 sprints, nomes reais de service/repositorio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