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FUNDAÇÃO TECNOLÓGICA GASMIG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Indicador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os resultados medidos ao longo do projeto para avaliar o desempenho da execução e alimentar a base histórica organizacional conforme PLA-MED-001.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OS-PARCELA-001 — resultados finais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Entregas no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escopo completo entregue dentro dos 15 dias corridos; aceite formal com 4 dias de defasagem em relação à data-alvo, sem impacto contratual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(%)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84 SP planejados = 84 SP entregues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entregues vs. planejados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84/84 = 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 SP em 15 dias (≈ 5,6 SP/dia · equipe de 2 engenheiros integrais)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interna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defeitos na verificação técnica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— checklist executado por Cézar Hiraki sem itens não conformes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dos itens verificados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 (pós-aceite)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— nenhum incidente registrado após o aceite de 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Requisitos com rastreabilidade completa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RF-01 a RF-10 e RNF-01 a RNF-05 rastreados em RASTR-GASMIG02-001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Conformidade GQA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auditoria de encerramento sem não conformidades (GQA-GASMIG02-001)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Satisfação do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aceite formal concedido via e-mail 26/05/2026; cliente iniciou imediatamente a OS-002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Satisfatório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Indicadores OS-PARCELA-002 — resultados finais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Entregas no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todos os marcos de configuração entregues dentro dos 15 dias corridos (entregue em 14 dias)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(%)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78 SP planejados = 78 SP entregues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entregues vs. planejados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78/78 = 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 SP em 14 dias (≈ 5,6 SP/dia · equipe de 2 engenheiros integrais)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interna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defeitos na verificação técnica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— checklist executado por Cézar Hiraki em 09/06/2026 sem itens não conformes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(pós-aceite)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— nenhum incidente registrado após aceite de 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Requisitos com rastreabilidade completa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RF-11 a RF-19 e RNF-06 a RNF-09 rastreados em RASTR-GASMIG02-002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Conformidade GQA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auditorias de processo sem não conformidades (GQA-GASMIG02-001)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Satisfação do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aceite formal concedido via e-mail 09/06/2026; NF emitida em 09/06/2026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Satisfatório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Consolidado do projeto (OS-001 + OS-002)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consolidado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total entregues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162/162 = 100% (84 + 78)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totais identificados (OS-001 + OS-002)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Requisitos rastreados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(RF-01 a RF-19 + RNF-01 a RNF-09)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Duração 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OS-001: 15 dias corridos · OS-002: 14 dias corridos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planejado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Contribuição à base histórica organizacional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Estes dados alimentam a base histórica de projetos de configuração Azure da Timeware: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 — projetos Azure API Management:</w:t>
      </w:r>
      <w:r>
        <w:rPr>
          <w:rFonts w:ascii="Calibri" w:hAnsi="Calibri"/>
          <w:b w:val="0"/>
          <w:i w:val="0"/>
          <w:sz w:val="22"/>
        </w:rPr>
        <w:t xml:space="preserve"> ≈ 5,6 SP/dia por engenheiro integral em projetos de configuração e governança de APIs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Consistência entre OS:</w:t>
      </w:r>
      <w:r>
        <w:rPr>
          <w:rFonts w:ascii="Calibri" w:hAnsi="Calibri"/>
          <w:b w:val="0"/>
          <w:i w:val="0"/>
          <w:sz w:val="22"/>
        </w:rPr>
        <w:t xml:space="preserve"> a velocity da OS-002 (5,6 SP/dia) reproduziu exatamente a da OS-001, confirmando a transferência de conhecimento e a estabilidade do processo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 de qualidade:</w:t>
      </w:r>
      <w:r>
        <w:rPr>
          <w:rFonts w:ascii="Calibri" w:hAnsi="Calibri"/>
          <w:b w:val="0"/>
          <w:i w:val="0"/>
          <w:sz w:val="22"/>
        </w:rPr>
        <w:t xml:space="preserve"> 0 defeitos em dois ciclos consecutivos de configuração Azure, validados por checklist técnico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indicadores finais OS-001 e parciais OS-002 (aceite pendente)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Finalização dos indicadores OS-002: M6 e M9 confirmados após aceite formal de 09/06/2026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Indicador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