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TIMEWARE BRASIL SOFTWARES E SERVIÇOS LTDA</w:t>
      </w:r>
    </w:p>
    <w:p>
      <w:pPr>
        <w:spacing w:after="6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Formulário de Levantamento de Projeto — MPS-SW Nível C</w:t>
      </w:r>
    </w:p>
    <w:p>
      <w:pPr>
        <w:pBdr>
          <w:bottom w:val="single" w:color="2E75B6" w:sz="6" w:space="4"/>
        </w:pBdr>
        <w:spacing w:after="160"/>
      </w:pPr>
      <w:r>
        <w:rPr>
          <w:rFonts w:ascii="Arial" w:cs="Arial" w:eastAsia="Arial" w:hAnsi="Arial"/>
          <w:color w:val="555555"/>
          <w:sz w:val="19"/>
          <w:szCs w:val="19"/>
        </w:rPr>
        <w:t>AASP_CNJ — WorkerAndamentos: Agente de Captura de Andamentos Processuais via DataJud/CNJ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Documento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INTAKE-PROJETO (interno) — preenchido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Versão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1.0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Data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14/06/2026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Preenchido por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Mateus Veloso — Desenvolvimento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Uso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Levantamento que alimenta TAP, PLA, REQ, RASTR, ITP, VV, GCO, GDE, GQA, MED, ATAs, CR, RAC, TAE, LI e a Planilha de Gestão GEST-AASPCNJ01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BLOCO 1 — Identificação do projeto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Nome do projeto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AASP_CNJ — WorkerAndamentos: Agente de Captura de Andamentos Processuais via DataJud/CNJ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Código do projeto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AASP_CNJ (Plano de Projeto PLA-AASPCNJ01-001 · TAP-AASPCNJ01-001)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Cliente / organização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AASP — Associação dos Advogados de São Paulo (cliente) · Timeware Brasil (executora)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Produto ou sistema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WorkerAndamentos — agente .NET de captura de andamentos processuais, consumindo DataJud/CNJ como fonte primária, com crawler EPROC/ESAJ (Puppeteer) como fallback e indexação no Elasticsearch via webhook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Objetivo principal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Capturar andamentos via DataJud/CNJ (cobertura universal por consulta pública) com fallback EPROC/ESAJ, reduzindo a dependência das APIs parceiras pagas e o custo de captura em ≥ R$ 150 mil/ano, sem perda de cobertura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Data de início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01/10/2025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Data de encerramento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08/06/2026 — encerrado; desenvolvimento concluído e validação em produção confirmada (10 workers ativos)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Tem pacotes / fases distintas?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Sim — 6 fases: F1 Análise/Arquitetura (Out/2025–Jan/2026); F2 Desenvolvimento EPROC/ESAJ (Dez/2025–Mar/2026); F3 Estabilização EPROC/ESAJ (Mar–Abr/2026); F4 Desenvolvimento CNJ (Abr–Mai/2026); F5 Testes e Validação (Mai–Jun/2026); F6 Implantação (Jun/2026)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Código do pacote 1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Fases 1–3 — Crawler EPROC/ESAJ, webhook e estabilização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Código do pacote 2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Fases 4–6 — Worker DataJud/CNJ, testes/validação e implantação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BLOCO 2 — Equipe</w:t>
      </w:r>
    </w:p>
    <w:p>
      <w:pPr>
        <w:pStyle w:val="Heading2"/>
      </w:pPr>
      <w:r>
        <w:rPr>
          <w:rFonts w:ascii="Arial" w:cs="Arial" w:eastAsia="Arial" w:hAnsi="Arial"/>
        </w:rPr>
        <w:t xml:space="preserve">Equipe Timeware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5957"/>
      </w:tblGrid>
      <w:tr>
        <w:trPr>
          <w:tblHeader/>
        </w:trP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Papel</w:t>
            </w:r>
          </w:p>
        </w:tc>
        <w:tc>
          <w:tcPr>
            <w:tcW w:type="dxa" w:w="59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Nome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Gerente de Projeto</w:t>
            </w:r>
          </w:p>
        </w:tc>
        <w:tc>
          <w:tcPr>
            <w:tcW w:type="dxa" w:w="59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Abraão Oliveira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Tech Lead / DevOps / Arquiteto</w:t>
            </w:r>
          </w:p>
        </w:tc>
        <w:tc>
          <w:tcPr>
            <w:tcW w:type="dxa" w:w="59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Cézar Hiraki Velázquez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Desenvolvedor Sênior (Principal)</w:t>
            </w:r>
          </w:p>
        </w:tc>
        <w:tc>
          <w:tcPr>
            <w:tcW w:type="dxa" w:w="59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Raony Chagas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Desenvolvedor</w:t>
            </w:r>
          </w:p>
        </w:tc>
        <w:tc>
          <w:tcPr>
            <w:tcW w:type="dxa" w:w="59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Mateus Veloso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Desenvolvedor</w:t>
            </w:r>
          </w:p>
        </w:tc>
        <w:tc>
          <w:tcPr>
            <w:tcW w:type="dxa" w:w="59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Lucas Batista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Analista de QA</w:t>
            </w:r>
          </w:p>
        </w:tc>
        <w:tc>
          <w:tcPr>
            <w:tcW w:type="dxa" w:w="59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Caroline Sousa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Auditor GQA (independente)</w:t>
            </w:r>
          </w:p>
        </w:tc>
        <w:tc>
          <w:tcPr>
            <w:tcW w:type="dxa" w:w="59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Jonathan Barbosa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Stakeholders do cliente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2527"/>
        <w:gridCol w:w="3430"/>
      </w:tblGrid>
      <w:tr>
        <w:trPr>
          <w:tblHeader/>
        </w:trP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Papel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Nome</w:t>
            </w:r>
          </w:p>
        </w:tc>
        <w:tc>
          <w:tcPr>
            <w:tcW w:type="dxa" w:w="3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Responsabilidade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Sponsor / responsável pelo aceite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Marcos Correa Fernandez Turnes</w:t>
            </w:r>
          </w:p>
        </w:tc>
        <w:tc>
          <w:tcPr>
            <w:tcW w:type="dxa" w:w="3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Autorização do projeto (TAP) e aceite formal da entrega (TAE)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PO / contato técnico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Marcos Correa Fernandez Turnes (representante AASP — acumula Sponsor e Product Owner)</w:t>
            </w:r>
          </w:p>
        </w:tc>
        <w:tc>
          <w:tcPr>
            <w:tcW w:type="dxa" w:w="3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Validação dos requisitos, homologação e aceite das entregas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Revisor de código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Cézar Hiraki Velázquez</w:t>
            </w:r>
          </w:p>
        </w:tc>
        <w:tc>
          <w:tcPr>
            <w:tcW w:type="dxa" w:w="3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Revisão de Pull Request (≥ 1 membro além do autor) no Azure DevOps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BLOCO 3 — Escopo e requisitos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O que está incluído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WorkerAndamentos consumindo DataJud/CNJ como fonte primária; crawler EPROC/ESAJ (Puppeteer) com BrowserPool e acesso direto ao portal; webhook de indexação multi-fonte; fila RabbitMQ unificada; token Bearer CNJ compartilhado (PonteAPI) com renovação automática; roteamento por CodigoFonteAPI; fallback e desligamento nas APIs parceiras; segredo de justiça e tratamento de erros por instância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O que está fora do escopo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Reescrita da solução AndamentosProcessuais (integração apenas via webhook); migração de dados históricos no Elasticsearch; alteração estrutural do IModelElastic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Produto de entrada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API DataJud/CNJ (consulta pública); portais EPROC/ESAJ TJSP; API AndamentosProcessuais (webhook); APIs parceiras (Solucionário, Botmax); RabbitMQ; Elasticsearch; ambiente de homologação compartilhado com AASP_AndamentosProcessuais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Requisitos funcionais (RF)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7943"/>
      </w:tblGrid>
      <w:tr>
        <w:trPr>
          <w:tblHeader/>
        </w:trP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type="dxa" w:w="79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RF01</w:t>
            </w:r>
          </w:p>
        </w:tc>
        <w:tc>
          <w:tcPr>
            <w:tcW w:type="dxa" w:w="79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Consultar a API DataJud/CNJ como fonte primária para todos os NUPs com CodigoFonteAPI nulo.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RF02</w:t>
            </w:r>
          </w:p>
        </w:tc>
        <w:tc>
          <w:tcPr>
            <w:tcW w:type="dxa" w:w="79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Realizar captura via engine EPROC/ESAJ para processos do TJSP quando o CNJ não retornar resultado.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RF03</w:t>
            </w:r>
          </w:p>
        </w:tc>
        <w:tc>
          <w:tcPr>
            <w:tcW w:type="dxa" w:w="79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O worker deve ler a fila RabbitMQ de forma unificada, independente do tribunal.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RF04</w:t>
            </w:r>
          </w:p>
        </w:tc>
        <w:tc>
          <w:tcPr>
            <w:tcW w:type="dxa" w:w="79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Após captura via CNJ, identificar e desligar o processo nas APIs parceiras.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RF05</w:t>
            </w:r>
          </w:p>
        </w:tc>
        <w:tc>
          <w:tcPr>
            <w:tcW w:type="dxa" w:w="79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Gerenciar o token Bearer da API CNJ de forma compartilhada, com renovação automática.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RF06</w:t>
            </w:r>
          </w:p>
        </w:tc>
        <w:tc>
          <w:tcPr>
            <w:tcW w:type="dxa" w:w="79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Registrar o campo CodigoFonteAPI na tabela ProcessoCaptura.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RF07</w:t>
            </w:r>
          </w:p>
        </w:tc>
        <w:tc>
          <w:tcPr>
            <w:tcW w:type="dxa" w:w="79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Tratar fallback para APIs parceiras quando CNJ e EPROC/ESAJ falharem.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RF08</w:t>
            </w:r>
          </w:p>
        </w:tc>
        <w:tc>
          <w:tcPr>
            <w:tcW w:type="dxa" w:w="79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Tratar todos os cenários de retorno das APIs parceiras: inválido, vazio, erro total, erro parcial.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RF09</w:t>
            </w:r>
          </w:p>
        </w:tc>
        <w:tc>
          <w:tcPr>
            <w:tcW w:type="dxa" w:w="79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Registrar erros detalhados no campo Observacao das tabelas de controle por instância.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RF10</w:t>
            </w:r>
          </w:p>
        </w:tc>
        <w:tc>
          <w:tcPr>
            <w:tcW w:type="dxa" w:w="79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Identificar e registrar segredo de justiça por instância processual.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RF11</w:t>
            </w:r>
          </w:p>
        </w:tc>
        <w:tc>
          <w:tcPr>
            <w:tcW w:type="dxa" w:w="79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O worker deve enviar os dados capturados à API AndamentosProcessuais via webhook.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RF12</w:t>
            </w:r>
          </w:p>
        </w:tc>
        <w:tc>
          <w:tcPr>
            <w:tcW w:type="dxa" w:w="79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O CapturaServer deve enfileirar todos os processos no RabbitMQ de forma unificada.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Requisitos não funcionais (RNF)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1986"/>
        <w:gridCol w:w="5957"/>
      </w:tblGrid>
      <w:tr>
        <w:trPr>
          <w:tblHeader/>
        </w:trP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Categoria</w:t>
            </w:r>
          </w:p>
        </w:tc>
        <w:tc>
          <w:tcPr>
            <w:tcW w:type="dxa" w:w="59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RNF01</w:t>
            </w:r>
          </w:p>
        </w:tc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Desempenho</w:t>
            </w:r>
          </w:p>
        </w:tc>
        <w:tc>
          <w:tcPr>
            <w:tcW w:type="dxa" w:w="59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Suportar múltiplos workers concorrentes sem conflito de token ou reserva de NUP.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RNF02</w:t>
            </w:r>
          </w:p>
        </w:tc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Confiabilidade</w:t>
            </w:r>
          </w:p>
        </w:tc>
        <w:tc>
          <w:tcPr>
            <w:tcW w:type="dxa" w:w="59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Em caso de travamento da fila, retomar sem intervenção manual.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RNF03</w:t>
            </w:r>
          </w:p>
        </w:tc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Rastreabilidade</w:t>
            </w:r>
          </w:p>
        </w:tc>
        <w:tc>
          <w:tcPr>
            <w:tcW w:type="dxa" w:w="59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Registrar todos os estados de captura nas tabelas de controle com data, status e observação.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RNF04</w:t>
            </w:r>
          </w:p>
        </w:tc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Manutenibilidade</w:t>
            </w:r>
          </w:p>
        </w:tc>
        <w:tc>
          <w:tcPr>
            <w:tcW w:type="dxa" w:w="59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Permitir adição de novas fontes sem refatoração do fluxo principal do worker.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RNF05</w:t>
            </w:r>
          </w:p>
        </w:tc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Segurança</w:t>
            </w:r>
          </w:p>
        </w:tc>
        <w:tc>
          <w:tcPr>
            <w:tcW w:type="dxa" w:w="59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Armazenar e renovar o token Bearer CNJ de forma centralizada, sem exposição em logs.</w:t>
            </w:r>
          </w:p>
        </w:tc>
      </w:tr>
      <w:tr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RNF06</w:t>
            </w:r>
          </w:p>
        </w:tc>
        <w:tc>
          <w:tcPr>
            <w:tcW w:type="dxa" w:w="1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Custo</w:t>
            </w:r>
          </w:p>
        </w:tc>
        <w:tc>
          <w:tcPr>
            <w:tcW w:type="dxa" w:w="59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Reduzir o custo de captura em ao menos R$ 150.000 anuais.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BLOCO 4 — Adaptação do processo-padrão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3791"/>
        <w:gridCol w:w="3069"/>
      </w:tblGrid>
      <w:tr>
        <w:trPr>
          <w:tblHeader/>
        </w:trP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type="dxa" w:w="37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Decisão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Justificativa</w:t>
            </w:r>
          </w:p>
        </w:tc>
      </w:tr>
      <w:t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Design UX/UI</w:t>
            </w:r>
          </w:p>
        </w:tc>
        <w:tc>
          <w:tcPr>
            <w:tcW w:type="dxa" w:w="37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Não aplicável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Projeto de backend/agente de captura — sem interface de usuário.</w:t>
            </w:r>
          </w:p>
        </w:tc>
      </w:tr>
      <w:t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Nível de documentação</w:t>
            </w:r>
          </w:p>
        </w:tc>
        <w:tc>
          <w:tcPr>
            <w:tcW w:type="dxa" w:w="37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Reforçado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Projeto sob avaliação de certificação MPS-SW Nível C.</w:t>
            </w:r>
          </w:p>
        </w:tc>
      </w:tr>
      <w:t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Combinação de papéis</w:t>
            </w:r>
          </w:p>
        </w:tc>
        <w:tc>
          <w:tcPr>
            <w:tcW w:type="dxa" w:w="37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GP acumula Tech Lead e Arquiteto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Equipe enxuta; Cézar Hiraki Velázquez concentra os três papéis.</w:t>
            </w:r>
          </w:p>
        </w:tc>
      </w:tr>
      <w:t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Processo de revisão de código</w:t>
            </w:r>
          </w:p>
        </w:tc>
        <w:tc>
          <w:tcPr>
            <w:tcW w:type="dxa" w:w="37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PR no Azure DevOps, revisada por ≥ 1 membro além do autor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Qualidade do código e rastreabilidade (GitFlow).</w:t>
            </w:r>
          </w:p>
        </w:tc>
      </w:tr>
      <w:t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Processo de entrega</w:t>
            </w:r>
          </w:p>
        </w:tc>
        <w:tc>
          <w:tcPr>
            <w:tcW w:type="dxa" w:w="37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GMUD — pacotes versionados + scripts DDL no Azure DevOps; deploy hom → produção (AWS)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Solução em produção; mudanças controladas por GMUD.</w:t>
            </w:r>
          </w:p>
        </w:tc>
      </w:tr>
      <w:t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Outras adaptações</w:t>
            </w:r>
          </w:p>
        </w:tc>
        <w:tc>
          <w:tcPr>
            <w:tcW w:type="dxa" w:w="37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Homologação por amostragem em ambiente compartilhado com AASP_AndamentosProcessuais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Sem Elasticsearch dedicado para testes; ciclo coordenado entre os dois projetos.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BLOCO 5 — Estimativas e cronograma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Tamanho estimado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~586 h estimadas (gestão por horas/fases no ClickUp — projetos id 213 e 256; sem story points)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Velocity de referência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Não aplicável (gestão por horas/fases)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Base histórica usada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Experiência do time na solução AndamentosProcessuais + projeto irmão AASP_AndamentosProcessuais (mesmo time e ciclo)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Esforço / prazo estimado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~9 meses (01/10/2025 – 08/06/2026), 6 fases · ~586 h estimadas / ~601 h realizadas · desvio +2,5% (MED-AASPCNJ01-001 §3)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Duração de cada sprint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Gestão por fases (não há sprints de duração fixa)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Marcos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2"/>
        <w:gridCol w:w="2437"/>
        <w:gridCol w:w="2437"/>
      </w:tblGrid>
      <w:tr>
        <w:trPr>
          <w:tblHeader/>
        </w:trP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Marco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Data planejada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Data realizada</w:t>
            </w:r>
          </w:p>
        </w:tc>
      </w:tr>
      <w:t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Kickoff / início do projeto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Out/2025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01/10/2025</w:t>
            </w:r>
          </w:p>
        </w:tc>
      </w:tr>
      <w:t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Fim da Fase 1 — Análise e Arquitetura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Jan/2026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Jan/2026</w:t>
            </w:r>
          </w:p>
        </w:tc>
      </w:tr>
      <w:t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Fim da Fase 2 — Desenvolvimento EPROC/ESAJ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Mar/2026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Mar/2026</w:t>
            </w:r>
          </w:p>
        </w:tc>
      </w:tr>
      <w:t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Fim da Fase 3 — Estabilização EPROC/ESAJ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Abr/2026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Abr/2026</w:t>
            </w:r>
          </w:p>
        </w:tc>
      </w:tr>
      <w:t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Fim da Fase 4 — Desenvolvimento CNJ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Mai/2026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Mai/2026</w:t>
            </w:r>
          </w:p>
        </w:tc>
      </w:tr>
      <w:t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Fim da Fase 5 — Testes e Validação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Jun/2026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01/06/2026</w:t>
            </w:r>
          </w:p>
        </w:tc>
      </w:tr>
      <w:t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Deploy em produção (Fase 6) — 10 workers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Jun/2026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08/06/2026</w:t>
            </w:r>
          </w:p>
        </w:tc>
      </w:tr>
      <w:t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Aceite final / Encerramento (TAE)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Jun/2026</w:t>
            </w:r>
          </w:p>
        </w:tc>
        <w:tc>
          <w:tcPr>
            <w:tcW w:type="dxa" w:w="24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08/06/2026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BLOCO 6 — Ambiente e configuração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Repositório de código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Azure DevOps — WorkersAndamentos (_git) + CapturaServer + AndamentosProcessuais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Branch strategy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GitFlow: main (produção) + develop + feature/&lt;ÉPICO&gt;-NNN; PR obrigatório (≥ 1 revisor) para merge em develop/main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Ambiente de desenvolvimento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Local (.NET) + SQL Server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Ambiente de homologação / staging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Compartilhado com AASP_AndamentosProcessuais (por amostragem; sem Elasticsearch dedicado)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Ambiente de produção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AWS — 10 workers ativos; SQL Server + Elasticsearch + RabbitMQ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Tecnologias principais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.NET / C#, RabbitMQ, Elasticsearch, SQL Server, Puppeteer (navegador headless EPROC/ESAJ), API DataJud/CNJ (Bearer/JWT), Azure DevOps (CI/CD)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Ferramentas de gestão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ClickUp (cards, horas estimadas/realizadas) · Azure DevOps (código, GMUD, pipelines)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Baseline de configuração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Tags v230 (15/04/2026) e v240 (02/06/2026); imagem workerandamentos:2.0.0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BLOCO 7 — Decisões arquiteturais e de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Padrão arquitetural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Agente/worker .NET consumindo fila RabbitMQ; DataJud/CNJ como fonte primária com fallback crawler EPROC/ESAJ (Puppeteer + BrowserPool); indexação no Elasticsearch via webhook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Integrações externas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API DataJud/CNJ (fonte primária) · RabbitMQ (fila WorkerAndamentos) · Elasticsearch · SQL Server · API AndamentosProcessuais (webhook) · Solucionário e Botmax (parceiras: fallback/desligamento) · portais EPROC/ESAJ TJSP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Estratégia de build e entrega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Pacotes GMUD + scripts DDL versionados no Azure DevOps; CI/CD com deploy homologação → produção (AWS)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Decisões formais (GDE)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076"/>
        <w:gridCol w:w="2166"/>
        <w:gridCol w:w="2076"/>
      </w:tblGrid>
      <w:tr>
        <w:trPr>
          <w:tblHeader/>
        </w:trP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Contexto / Problema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Alternativas</w:t>
            </w:r>
          </w:p>
        </w:tc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Decisão tomada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Justificativa</w:t>
            </w:r>
          </w:p>
        </w:tc>
      </w:tr>
      <w:t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D01 (Out/2025) — fonte de captura dos andamentos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APIs parceiras pagas vs. DataJud/CNJ</w:t>
            </w:r>
          </w:p>
        </w:tc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Adotar DataJud/CNJ como fonte primária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Cobertura universal (consulta pública) e forte redução de custo</w:t>
            </w:r>
          </w:p>
        </w:tc>
      </w:tr>
      <w:t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D02 (Jan/2026) — captcha Cloudflare no EPROC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Serviço terceiro de captcha vs. acesso direto</w:t>
            </w:r>
          </w:p>
        </w:tc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Acesso direto ao portal EPROC com BrowserPool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Desempenho, custo e estabilidade do crawler</w:t>
            </w:r>
          </w:p>
        </w:tc>
      </w:tr>
      <w:t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D03 (Abr/2026) — gestão do token CNJ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Token por worker vs. compartilhado</w:t>
            </w:r>
          </w:p>
        </w:tc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Token Bearer compartilhado via PonteAPI com renovação automática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Múltiplos workers concorrentes sem conflito (RNF01)</w:t>
            </w:r>
          </w:p>
        </w:tc>
      </w:tr>
      <w:t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D04 (Abr/2026) — enfileiramento dos processos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Fila por tribunal vs. fila única</w:t>
            </w:r>
          </w:p>
        </w:tc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Fila RabbitMQ unificada (WorkerAndamentos)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Pipeline único, preparado para múltiplas fontes</w:t>
            </w:r>
          </w:p>
        </w:tc>
      </w:tr>
      <w:t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D05 (Abr/2026) — roteamento de fonte por processo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Sem roteamento vs. campo por processo</w:t>
            </w:r>
          </w:p>
        </w:tc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Campo CodigoFonteAPI em ProcessoCaptura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Permitir rotear a fonte de captura por processo</w:t>
            </w:r>
          </w:p>
        </w:tc>
      </w:tr>
      <w:t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D06 (Mai/2026) — 2ª instância EPROC durante a migração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Manter vs. pausar a captura</w:t>
            </w:r>
          </w:p>
        </w:tc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Pausar a 2ª instância EPROC e priorizar o CNJ (CR-AASPCNJ01-001)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Foco na integração CNJ e contenção de custo; retomada na Fase 6</w:t>
            </w:r>
          </w:p>
        </w:tc>
      </w:tr>
      <w:tr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D07 (Mai/2026) — escopo do segredo de justiça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Segredo por processo vs. por instância</w:t>
            </w:r>
          </w:p>
        </w:tc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Campo Segredo por instância</w:t>
            </w:r>
          </w:p>
        </w:tc>
        <w:tc>
          <w:tcPr>
            <w:tcW w:type="dxa" w:w="20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Um processo pode ser segredo em uma instância e não em outra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BLOCO 8 — Riscos</w:t>
      </w:r>
    </w:p>
    <w:p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Escala Prob./Impacto: 1=Baixo · 2=Médio · 3=Alto · Exposição = P × 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451"/>
        <w:gridCol w:w="451"/>
        <w:gridCol w:w="632"/>
        <w:gridCol w:w="2708"/>
        <w:gridCol w:w="1715"/>
      </w:tblGrid>
      <w:tr>
        <w:trPr>
          <w:tblHeader/>
        </w:trP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Risco</w:t>
            </w:r>
          </w:p>
        </w:tc>
        <w:tc>
          <w:tcPr>
            <w:tcW w:type="dxa" w:w="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</w:t>
            </w:r>
          </w:p>
        </w:tc>
        <w:tc>
          <w:tcPr>
            <w:tcW w:type="dxa" w:w="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I</w:t>
            </w:r>
          </w:p>
        </w:tc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Exp.</w:t>
            </w:r>
          </w:p>
        </w:tc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Resposta</w:t>
            </w:r>
          </w:p>
        </w:tc>
        <w:tc>
          <w:tcPr>
            <w:tcW w:type="dxa" w:w="17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Status final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R-01 Indisponibilidade ou alteração na API DataJud/CNJ</w:t>
            </w:r>
          </w:p>
        </w:tc>
        <w:tc>
          <w:tcPr>
            <w:tcW w:type="dxa" w:w="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1</w:t>
            </w:r>
          </w:p>
        </w:tc>
        <w:tc>
          <w:tcPr>
            <w:tcW w:type="dxa" w:w="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2</w:t>
            </w:r>
          </w:p>
        </w:tc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2</w:t>
            </w:r>
          </w:p>
        </w:tc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Mitigar (APIs parceiras como fallback configurável por CodigoFonteAPI)</w:t>
            </w:r>
          </w:p>
        </w:tc>
        <w:tc>
          <w:tcPr>
            <w:tcW w:type="dxa" w:w="17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Controlado — não ocorreu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R-02 Travamento da fila RabbitMQ</w:t>
            </w:r>
          </w:p>
        </w:tc>
        <w:tc>
          <w:tcPr>
            <w:tcW w:type="dxa" w:w="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3</w:t>
            </w:r>
          </w:p>
        </w:tc>
        <w:tc>
          <w:tcPr>
            <w:tcW w:type="dxa" w:w="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3</w:t>
            </w:r>
          </w:p>
        </w:tc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9</w:t>
            </w:r>
          </w:p>
        </w:tc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Mitigar (logging aprimorado, tratamento de exceção na publicação, monitoramento da fila)</w:t>
            </w:r>
          </w:p>
        </w:tc>
        <w:tc>
          <w:tcPr>
            <w:tcW w:type="dxa" w:w="17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Ocorreu — tratado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R-03 Processos em segredo de justiça sem cobertura</w:t>
            </w:r>
          </w:p>
        </w:tc>
        <w:tc>
          <w:tcPr>
            <w:tcW w:type="dxa" w:w="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3</w:t>
            </w:r>
          </w:p>
        </w:tc>
        <w:tc>
          <w:tcPr>
            <w:tcW w:type="dxa" w:w="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2</w:t>
            </w:r>
          </w:p>
        </w:tc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6</w:t>
            </w:r>
          </w:p>
        </w:tc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Mitigar (campo Segredo por instância + fallback EPROC/ESAJ ou parceiras)</w:t>
            </w:r>
          </w:p>
        </w:tc>
        <w:tc>
          <w:tcPr>
            <w:tcW w:type="dxa" w:w="17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Controlado — não ocorreu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R-04 Variação de layout dos portais EPROC/ESAJ</w:t>
            </w:r>
          </w:p>
        </w:tc>
        <w:tc>
          <w:tcPr>
            <w:tcW w:type="dxa" w:w="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2</w:t>
            </w:r>
          </w:p>
        </w:tc>
        <w:tc>
          <w:tcPr>
            <w:tcW w:type="dxa" w:w="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2</w:t>
            </w:r>
          </w:p>
        </w:tc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4</w:t>
            </w:r>
          </w:p>
        </w:tc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Aceitar (CNJ como fonte primária reduz exposição; EPROC apenas fallback)</w:t>
            </w:r>
          </w:p>
        </w:tc>
        <w:tc>
          <w:tcPr>
            <w:tcW w:type="dxa" w:w="17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Controlado — não ocorreu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R-05 Custo duplo durante o período de migração</w:t>
            </w:r>
          </w:p>
        </w:tc>
        <w:tc>
          <w:tcPr>
            <w:tcW w:type="dxa" w:w="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2</w:t>
            </w:r>
          </w:p>
        </w:tc>
        <w:tc>
          <w:tcPr>
            <w:tcW w:type="dxa" w:w="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2</w:t>
            </w:r>
          </w:p>
        </w:tc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4</w:t>
            </w:r>
          </w:p>
        </w:tc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Mitigar (desligamento automático nas parceiras após a 1ª captura via CNJ)</w:t>
            </w:r>
          </w:p>
        </w:tc>
        <w:tc>
          <w:tcPr>
            <w:tcW w:type="dxa" w:w="17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Controlado — não ocorreu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R-06 Erros parciais por instância não tratados</w:t>
            </w:r>
          </w:p>
        </w:tc>
        <w:tc>
          <w:tcPr>
            <w:tcW w:type="dxa" w:w="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2</w:t>
            </w:r>
          </w:p>
        </w:tc>
        <w:tc>
          <w:tcPr>
            <w:tcW w:type="dxa" w:w="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3</w:t>
            </w:r>
          </w:p>
        </w:tc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6</w:t>
            </w:r>
          </w:p>
        </w:tc>
        <w:tc>
          <w:tcPr>
            <w:tcW w:type="dxa" w:w="27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Mitigar (controle granular de status por instância nas tabelas de controle)</w:t>
            </w:r>
          </w:p>
        </w:tc>
        <w:tc>
          <w:tcPr>
            <w:tcW w:type="dxa" w:w="17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Ocorreu — tratado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BLOCO 9 — Verificação e Validação (V&amp;V / Testes)</w:t>
      </w:r>
    </w:p>
    <w:p>
      <w:pPr>
        <w:pStyle w:val="Heading2"/>
      </w:pPr>
      <w:r>
        <w:rPr>
          <w:rFonts w:ascii="Arial" w:cs="Arial" w:eastAsia="Arial" w:hAnsi="Arial"/>
        </w:rPr>
        <w:t xml:space="preserve">Ciclos de execução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9"/>
        <w:gridCol w:w="1805"/>
        <w:gridCol w:w="2626"/>
        <w:gridCol w:w="821"/>
        <w:gridCol w:w="1313"/>
        <w:gridCol w:w="1312"/>
      </w:tblGrid>
      <w:tr>
        <w:trPr>
          <w:tblHeader/>
        </w:trPr>
        <w:tc>
          <w:tcPr>
            <w:tcW w:type="dxa" w:w="11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Ciclo / Fase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O que foi testado</w:t>
            </w:r>
          </w:p>
        </w:tc>
        <w:tc>
          <w:tcPr>
            <w:tcW w:type="dxa" w:w="8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Defeitos</w:t>
            </w:r>
          </w:p>
        </w:tc>
        <w:tc>
          <w:tcPr>
            <w:tcW w:type="dxa" w:w="1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Resolução</w:t>
            </w:r>
          </w:p>
        </w:tc>
        <w:tc>
          <w:tcPr>
            <w:tcW w:type="dxa" w:w="1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Data</w:t>
            </w:r>
          </w:p>
        </w:tc>
      </w:tr>
      <w:tr>
        <w:tc>
          <w:tcPr>
            <w:tcW w:type="dxa" w:w="11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Fases 2–3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Crawler EPROC/ESAJ · Webhook · RabbitMQ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Setup do crawler, captcha/BrowserPool, captura 1ª/2ª instância, indexação e estabilização</w:t>
            </w:r>
          </w:p>
        </w:tc>
        <w:tc>
          <w:tcPr>
            <w:tcW w:type="dxa" w:w="8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BUG-01 a BUG-04</w:t>
            </w:r>
          </w:p>
        </w:tc>
        <w:tc>
          <w:tcPr>
            <w:tcW w:type="dxa" w:w="1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Correções de timeout/captcha, nullabilidade e DataUltimaAtualizacao</w:t>
            </w:r>
          </w:p>
        </w:tc>
        <w:tc>
          <w:tcPr>
            <w:tcW w:type="dxa" w:w="1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Fev–Abr/2026</w:t>
            </w:r>
          </w:p>
        </w:tc>
      </w:tr>
      <w:tr>
        <w:tc>
          <w:tcPr>
            <w:tcW w:type="dxa" w:w="11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Fase 4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Worker DataJud/CNJ · Token · CodigoFonteAPI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Integração DataJud, fila unificada, token PonteAPI, roteamento por fonte e campos do modelo CNJ</w:t>
            </w:r>
          </w:p>
        </w:tc>
        <w:tc>
          <w:tcPr>
            <w:tcW w:type="dxa" w:w="8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BUG-05, BUG-06, BUG-07</w:t>
            </w:r>
          </w:p>
        </w:tc>
        <w:tc>
          <w:tcPr>
            <w:tcW w:type="dxa" w:w="1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Correção da fila RabbitMQ (137 mil), publicação de mensagens e campos hardcoded do TJSP</w:t>
            </w:r>
          </w:p>
        </w:tc>
        <w:tc>
          <w:tcPr>
            <w:tcW w:type="dxa" w:w="1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Abr–Mai/2026</w:t>
            </w:r>
          </w:p>
        </w:tc>
      </w:tr>
      <w:tr>
        <w:tc>
          <w:tcPr>
            <w:tcW w:type="dxa" w:w="11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Fase 5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E2E · Segredo · Parceiras · Regressão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Fluxo E2E, segredo por instância, desligamento nas parceiras e regressão EPROC/ESAJ</w:t>
            </w:r>
          </w:p>
        </w:tc>
        <w:tc>
          <w:tcPr>
            <w:tcW w:type="dxa" w:w="8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BUG-08, BUG-09</w:t>
            </w:r>
          </w:p>
        </w:tc>
        <w:tc>
          <w:tcPr>
            <w:tcW w:type="dxa" w:w="1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Correção de referências pós-merge e do fluxo de indexação/exclusão nas parceiras</w:t>
            </w:r>
          </w:p>
        </w:tc>
        <w:tc>
          <w:tcPr>
            <w:tcW w:type="dxa" w:w="1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Mai–Jun/2026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>Cenários de teste (CT-01 a CT-07 — 100% aprovados)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542"/>
        <w:gridCol w:w="903"/>
        <w:gridCol w:w="5596"/>
        <w:gridCol w:w="1353"/>
      </w:tblGrid>
      <w:tr>
        <w:trPr>
          <w:tblHeader/>
        </w:trPr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CT</w:t>
            </w:r>
          </w:p>
        </w:tc>
        <w:tc>
          <w:tcPr>
            <w:tcW w:type="dxa" w:w="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type="dxa" w:w="5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Cenário (Dado → Quando → Então)</w:t>
            </w:r>
          </w:p>
        </w:tc>
        <w:tc>
          <w:tcPr>
            <w:tcW w:type="dxa" w:w="13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Situação</w:t>
            </w:r>
          </w:p>
        </w:tc>
      </w:tr>
      <w:tr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CT-01</w:t>
            </w:r>
          </w:p>
        </w:tc>
        <w:tc>
          <w:tcPr>
            <w:tcW w:type="dxa" w:w="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F4</w:t>
            </w:r>
          </w:p>
        </w:tc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Happy</w:t>
            </w:r>
          </w:p>
        </w:tc>
        <w:tc>
          <w:tcPr>
            <w:tcW w:type="dxa" w:w="5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NUP com CodigoFonteAPI nulo e DataJud disponível → WorkerAndamentos processa → ProcessoCaptura status=3 e ProcessoCapturaLogin resposta=1 por instância</w:t>
            </w:r>
          </w:p>
        </w:tc>
        <w:tc>
          <w:tcPr>
            <w:tcW w:type="dxa" w:w="13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Aprovado</w:t>
            </w:r>
          </w:p>
        </w:tc>
      </w:tr>
      <w:tr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CT-02</w:t>
            </w:r>
          </w:p>
        </w:tc>
        <w:tc>
          <w:tcPr>
            <w:tcW w:type="dxa" w:w="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F4</w:t>
            </w:r>
          </w:p>
        </w:tc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Happy</w:t>
            </w:r>
          </w:p>
        </w:tc>
        <w:tc>
          <w:tcPr>
            <w:tcW w:type="dxa" w:w="5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Processo capturado via CNJ com novas movimentações → webhook ProcessarCapturaExterna → registro Ativo=1 e DataUltimaAtualizacao; anterior inativado (Ativo=0)</w:t>
            </w:r>
          </w:p>
        </w:tc>
        <w:tc>
          <w:tcPr>
            <w:tcW w:type="dxa" w:w="13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Aprovado</w:t>
            </w:r>
          </w:p>
        </w:tc>
      </w:tr>
      <w:tr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CT-03</w:t>
            </w:r>
          </w:p>
        </w:tc>
        <w:tc>
          <w:tcPr>
            <w:tcW w:type="dxa" w:w="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F4</w:t>
            </w:r>
          </w:p>
        </w:tc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Happy</w:t>
            </w:r>
          </w:p>
        </w:tc>
        <w:tc>
          <w:tcPr>
            <w:tcW w:type="dxa" w:w="5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Processo serializado para IModelElastic → webhook finaliza → documento indexado no Elasticsearch com capa, partes, advogados e andamentos por instância</w:t>
            </w:r>
          </w:p>
        </w:tc>
        <w:tc>
          <w:tcPr>
            <w:tcW w:type="dxa" w:w="13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Aprovado</w:t>
            </w:r>
          </w:p>
        </w:tc>
      </w:tr>
      <w:tr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CT-04</w:t>
            </w:r>
          </w:p>
        </w:tc>
        <w:tc>
          <w:tcPr>
            <w:tcW w:type="dxa" w:w="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F5</w:t>
            </w:r>
          </w:p>
        </w:tc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Happy</w:t>
            </w:r>
          </w:p>
        </w:tc>
        <w:tc>
          <w:tcPr>
            <w:tcW w:type="dxa" w:w="5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Processo cadastrado na Solucionário e capturado via CNJ → VerificaProcessoAPisParceiras → removido da parceira e log de desligamento registrado</w:t>
            </w:r>
          </w:p>
        </w:tc>
        <w:tc>
          <w:tcPr>
            <w:tcW w:type="dxa" w:w="13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Aprovado</w:t>
            </w:r>
          </w:p>
        </w:tc>
      </w:tr>
      <w:tr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CT-05</w:t>
            </w:r>
          </w:p>
        </w:tc>
        <w:tc>
          <w:tcPr>
            <w:tcW w:type="dxa" w:w="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F5</w:t>
            </w:r>
          </w:p>
        </w:tc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Sad</w:t>
            </w:r>
          </w:p>
        </w:tc>
        <w:tc>
          <w:tcPr>
            <w:tcW w:type="dxa" w:w="5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Processo com 2 instâncias e falha na 2ª → ProcessoCaptura mantém status 3 e a instância com falha recebe resposta=8 com Observacao preenchido</w:t>
            </w:r>
          </w:p>
        </w:tc>
        <w:tc>
          <w:tcPr>
            <w:tcW w:type="dxa" w:w="13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Aprovado</w:t>
            </w:r>
          </w:p>
        </w:tc>
      </w:tr>
      <w:tr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CT-06</w:t>
            </w:r>
          </w:p>
        </w:tc>
        <w:tc>
          <w:tcPr>
            <w:tcW w:type="dxa" w:w="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F5</w:t>
            </w:r>
          </w:p>
        </w:tc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Sad</w:t>
            </w:r>
          </w:p>
        </w:tc>
        <w:tc>
          <w:tcPr>
            <w:tcW w:type="dxa" w:w="5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1ª instância em segredo e 2ª não → campo Segredo setado na 1ª e 2ª capturada normalmente sem restrição</w:t>
            </w:r>
          </w:p>
        </w:tc>
        <w:tc>
          <w:tcPr>
            <w:tcW w:type="dxa" w:w="13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Aprovado</w:t>
            </w:r>
          </w:p>
        </w:tc>
      </w:tr>
      <w:tr>
        <w:tc>
          <w:tcPr>
            <w:tcW w:type="dxa" w:w="6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CT-07</w:t>
            </w:r>
          </w:p>
        </w:tc>
        <w:tc>
          <w:tcPr>
            <w:tcW w:type="dxa" w:w="5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F4</w:t>
            </w:r>
          </w:p>
        </w:tc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Happy</w:t>
            </w:r>
          </w:p>
        </w:tc>
        <w:tc>
          <w:tcPr>
            <w:tcW w:type="dxa" w:w="55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Token Bearer da PonteAPI expirado (HTTP 401) → worker renova automaticamente, reexecuta a consulta e atualiza a PonteAPI</w:t>
            </w:r>
          </w:p>
        </w:tc>
        <w:tc>
          <w:tcPr>
            <w:tcW w:type="dxa" w:w="13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Aprovado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BLOCO 10 — Reuniões e acompanhamento</w:t>
      </w:r>
    </w:p>
    <w:p>
      <w:pPr>
        <w:pStyle w:val="Heading2"/>
      </w:pPr>
      <w:r>
        <w:rPr>
          <w:rFonts w:ascii="Arial" w:cs="Arial" w:eastAsia="Arial" w:hAnsi="Arial"/>
        </w:rPr>
        <w:t xml:space="preserve">Reuniões / atividades de alinhamento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1625"/>
        <w:gridCol w:w="4332"/>
      </w:tblGrid>
      <w:tr>
        <w:trPr>
          <w:tblHeader/>
        </w:trP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Tipo / Atividade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type="dxa" w:w="43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Pautas / Decisões principais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Alinhamento e entendimento do fluxo da API CNJ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07/04/2026</w:t>
            </w:r>
          </w:p>
        </w:tc>
        <w:tc>
          <w:tcPr>
            <w:tcW w:type="dxa" w:w="43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ATA-AASPCNJ01-001 — responsabilidades de cada componente no novo modelo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Reunião de captura CNJ / atualização de atividades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28/04/2026</w:t>
            </w:r>
          </w:p>
        </w:tc>
        <w:tc>
          <w:tcPr>
            <w:tcW w:type="dxa" w:w="43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Progresso e decisões sobre worker, token e APIs parceiras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Revisão do fluxo e definição de atividades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08/05/2026</w:t>
            </w:r>
          </w:p>
        </w:tc>
        <w:tc>
          <w:tcPr>
            <w:tcW w:type="dxa" w:w="43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ATA-AASPCNJ01-002 — revisão completa com time ampliado; redistribuição entre os projetos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Continuidade durante férias do GP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06–08/05/2026</w:t>
            </w:r>
          </w:p>
        </w:tc>
        <w:tc>
          <w:tcPr>
            <w:tcW w:type="dxa" w:w="43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Planejamento da continuidade e autonomia do time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Homologação EPROC/ESAJ (por amostragem)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Jan–Mai/2026</w:t>
            </w:r>
          </w:p>
        </w:tc>
        <w:tc>
          <w:tcPr>
            <w:tcW w:type="dxa" w:w="43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Ciclos contínuos de validação dos critérios de aceite</w:t>
            </w:r>
          </w:p>
        </w:tc>
      </w:tr>
      <w:tr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Devolutiva aos associados sobre resultado em produção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Jan–Fev/2026</w:t>
            </w:r>
          </w:p>
        </w:tc>
        <w:tc>
          <w:tcPr>
            <w:tcW w:type="dxa" w:w="43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Comunicação do resultado em produção ao cliente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Change Requests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993"/>
        <w:gridCol w:w="3249"/>
        <w:gridCol w:w="1805"/>
        <w:gridCol w:w="1354"/>
      </w:tblGrid>
      <w:tr>
        <w:trPr>
          <w:tblHeader/>
        </w:trPr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type="dxa" w:w="9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type="dxa" w:w="32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Aprovado por</w:t>
            </w:r>
          </w:p>
        </w:tc>
      </w:tr>
      <w:tr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CR-AASPCNJ01-001</w:t>
            </w:r>
          </w:p>
        </w:tc>
        <w:tc>
          <w:tcPr>
            <w:tcW w:type="dxa" w:w="9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Abr/2026</w:t>
            </w:r>
          </w:p>
        </w:tc>
        <w:tc>
          <w:tcPr>
            <w:tcW w:type="dxa" w:w="32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Pausa do desenvolvimento da captura de 2ª instância EPROC para priorizar a integração CNJ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Priorização do escopo CNJ (sem custo adicional)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Marcos Correa Fernandez Turnes</w:t>
            </w:r>
          </w:p>
        </w:tc>
      </w:tr>
      <w:tr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CR-AASPCNJ01-002</w:t>
            </w:r>
          </w:p>
        </w:tc>
        <w:tc>
          <w:tcPr>
            <w:tcW w:type="dxa" w:w="9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Jun/2026</w:t>
            </w:r>
          </w:p>
        </w:tc>
        <w:tc>
          <w:tcPr>
            <w:tcW w:type="dxa" w:w="32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Retomada da captura de 2ª instância EPROC após a conclusão da Fase 5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Retomada planejada pós-validação</w:t>
            </w:r>
          </w:p>
        </w:tc>
        <w:tc>
          <w:tcPr>
            <w:tcW w:type="dxa" w:w="13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Marcos Correa Fernandez Turnes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Acompanhamento por fase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2"/>
        <w:gridCol w:w="1264"/>
        <w:gridCol w:w="1444"/>
        <w:gridCol w:w="1083"/>
        <w:gridCol w:w="1083"/>
      </w:tblGrid>
      <w:tr>
        <w:trPr>
          <w:tblHeader/>
        </w:trP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H Estimadas</w:t>
            </w:r>
          </w:p>
        </w:tc>
        <w:tc>
          <w:tcPr>
            <w:tcW w:type="dxa" w:w="14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H Realizadas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Desvio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Defeitos</w:t>
            </w:r>
          </w:p>
        </w:tc>
      </w:tr>
      <w:t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Fase 1 — Análise e Arquitetura</w:t>
            </w:r>
          </w:p>
        </w:tc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60</w:t>
            </w:r>
          </w:p>
        </w:tc>
        <w:tc>
          <w:tcPr>
            <w:tcW w:type="dxa" w:w="14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80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+33%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0</w:t>
            </w:r>
          </w:p>
        </w:tc>
      </w:tr>
      <w:t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Fase 2 — Desenvolvimento EPROC/ESAJ</w:t>
            </w:r>
          </w:p>
        </w:tc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120</w:t>
            </w:r>
          </w:p>
        </w:tc>
        <w:tc>
          <w:tcPr>
            <w:tcW w:type="dxa" w:w="14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124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+3%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0</w:t>
            </w:r>
          </w:p>
        </w:tc>
      </w:tr>
      <w:t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Fase 3 — Estabilização EPROC/ESAJ</w:t>
            </w:r>
          </w:p>
        </w:tc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80</w:t>
            </w:r>
          </w:p>
        </w:tc>
        <w:tc>
          <w:tcPr>
            <w:tcW w:type="dxa" w:w="14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93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+16%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4 (BUG-01 a BUG-04)</w:t>
            </w:r>
          </w:p>
        </w:tc>
      </w:tr>
      <w:t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Fase 4 — Desenvolvimento CNJ</w:t>
            </w:r>
          </w:p>
        </w:tc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200</w:t>
            </w:r>
          </w:p>
        </w:tc>
        <w:tc>
          <w:tcPr>
            <w:tcW w:type="dxa" w:w="14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195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−2,5%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3 (BUG-05 a BUG-07)</w:t>
            </w:r>
          </w:p>
        </w:tc>
      </w:tr>
      <w:t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Fase 5 — Testes e Validação</w:t>
            </w:r>
          </w:p>
        </w:tc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80</w:t>
            </w:r>
          </w:p>
        </w:tc>
        <w:tc>
          <w:tcPr>
            <w:tcW w:type="dxa" w:w="14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109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+36%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2 (BUG-08, BUG-09)</w:t>
            </w:r>
          </w:p>
        </w:tc>
      </w:tr>
      <w:t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Fase 6 — Implantação</w:t>
            </w:r>
          </w:p>
        </w:tc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46</w:t>
            </w:r>
          </w:p>
        </w:tc>
        <w:tc>
          <w:tcPr>
            <w:tcW w:type="dxa" w:w="14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16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—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0</w:t>
            </w:r>
          </w:p>
        </w:tc>
      </w:tr>
      <w:tr>
        <w:tc>
          <w:tcPr>
            <w:tcW w:type="dxa" w:w="41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TOTAL</w:t>
            </w:r>
          </w:p>
        </w:tc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~586</w:t>
            </w:r>
          </w:p>
        </w:tc>
        <w:tc>
          <w:tcPr>
            <w:tcW w:type="dxa" w:w="14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~601 (+2,5%)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+2,5%</w:t>
            </w:r>
          </w:p>
        </w:tc>
        <w:tc>
          <w:tcPr>
            <w:tcW w:type="dxa" w:w="10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9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BLOCO 11 — GQA (Garantia da Qualidade)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1264"/>
        <w:gridCol w:w="1805"/>
        <w:gridCol w:w="812"/>
        <w:gridCol w:w="812"/>
        <w:gridCol w:w="1084"/>
      </w:tblGrid>
      <w:tr>
        <w:trPr>
          <w:tblHeader/>
        </w:trPr>
        <w:tc>
          <w:tcPr>
            <w:tcW w:type="dxa" w:w="32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Marco auditado</w:t>
            </w:r>
          </w:p>
        </w:tc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Auditor</w:t>
            </w:r>
          </w:p>
        </w:tc>
        <w:tc>
          <w:tcPr>
            <w:tcW w:type="dxa" w:w="8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Itens</w:t>
            </w:r>
          </w:p>
        </w:tc>
        <w:tc>
          <w:tcPr>
            <w:tcW w:type="dxa" w:w="8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Desvios</w:t>
            </w:r>
          </w:p>
        </w:tc>
        <w:tc>
          <w:tcPr>
            <w:tcW w:type="dxa" w:w="10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% Conf.</w:t>
            </w:r>
          </w:p>
        </w:tc>
      </w:tr>
      <w:tr>
        <w:tc>
          <w:tcPr>
            <w:tcW w:type="dxa" w:w="32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AASP_CNJ — aderência ao processo MPS-SW</w:t>
            </w:r>
          </w:p>
        </w:tc>
        <w:tc>
          <w:tcPr>
            <w:tcW w:type="dxa" w:w="1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08/06/2026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Jonathan Barbosa</w:t>
            </w:r>
          </w:p>
        </w:tc>
        <w:tc>
          <w:tcPr>
            <w:tcW w:type="dxa" w:w="8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12</w:t>
            </w:r>
          </w:p>
        </w:tc>
        <w:tc>
          <w:tcPr>
            <w:tcW w:type="dxa" w:w="8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0</w:t>
            </w:r>
          </w:p>
        </w:tc>
        <w:tc>
          <w:tcPr>
            <w:tcW w:type="dxa" w:w="10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100%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BLOCO 12 — Medição (KPIs)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4513"/>
        <w:gridCol w:w="3610"/>
      </w:tblGrid>
      <w:tr>
        <w:trPr>
          <w:tblHeader/>
        </w:trPr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Resultado medido</w:t>
            </w:r>
          </w:p>
        </w:tc>
      </w:tr>
      <w:tr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M1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% Entregas no prazo (aderência ao cronograma)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100% — todas as 6 fases no prazo (meta ≥ 85%) ✓</w:t>
            </w:r>
          </w:p>
        </w:tc>
      </w:tr>
      <w:tr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M2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Desvio de esforço (%)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+2,5% (meta ≤ 10%) ✓</w:t>
            </w:r>
          </w:p>
        </w:tc>
      </w:tr>
      <w:tr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M3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Taxa de contenção de defeitos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100% — 9 bugs contidos antes da entrega (meta ≥ 95%) ✓</w:t>
            </w:r>
          </w:p>
        </w:tc>
      </w:tr>
      <w:tr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M4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Defeitos escapados para produção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0 ✓</w:t>
            </w:r>
          </w:p>
        </w:tc>
      </w:tr>
      <w:tr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M5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Retrabalho (% do esforço)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0% (meta ≤ 5%) ✓</w:t>
            </w:r>
          </w:p>
        </w:tc>
      </w:tr>
      <w:tr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M6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Escopo realizado vs. planejado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100% (12 RF + 6 RNF entregues) ✓</w:t>
            </w:r>
          </w:p>
        </w:tc>
      </w:tr>
      <w:tr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M7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NCs de GQA abertas ao encerramento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0 ✓</w:t>
            </w:r>
          </w:p>
        </w:tc>
      </w:tr>
      <w:tr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M8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Processos capturados em validação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13.700 em 45 min · projeção 434.000/dia ✓</w:t>
            </w:r>
          </w:p>
        </w:tc>
      </w:tr>
      <w:tr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M9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Cobertura de tribunais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Universal via DataJud/CNJ (consulta pública) ✓</w:t>
            </w:r>
          </w:p>
        </w:tc>
      </w:tr>
      <w:tr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M10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Cobertura de testes automatizados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79% (meta ≥ 80%) ⚠️ levemente abaixo</w:t>
            </w:r>
          </w:p>
        </w:tc>
      </w:tr>
      <w:tr>
        <w:tc>
          <w:tcPr>
            <w:tcW w:type="dxa" w:w="9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M11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Redução de custo de captura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~R$ 176 mil/ano projetado (meta ≥ R$ 150 mil) ✓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BLOCO 13 — Encerramento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Data do aceite formal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08/06/2026 (TAE-AASPCNJ01-001)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Forma do aceite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Homologação por amostragem + validação em produção (10 workers; 13.700 processos em 45 min) e aceite formal via Termo de Encerramento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Quem concedeu o aceite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Marcos Correa Fernandez Turnes (representante / patrocinador AASP)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Entregas finais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WorkerAndamentos (agente .NET), crawler EPROC/ESAJ, webhook multi-fonte, scripts DDL versionados, pacotes GMUD (v240) e documentação MPS (GEST-AASPCNJ01, evidências)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Encerrado conforme planejado?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Sim — encerrado em 08/06/2026; desenvolvimento concluído e validação em produção confirmada (com atraso de ~30 dias por escopo adicional acordado, dentro das metas)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Lições aprendidas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3610"/>
        <w:gridCol w:w="3250"/>
      </w:tblGrid>
      <w:tr>
        <w:trPr>
          <w:tblHeader/>
        </w:trP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Categoria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O que funcionou bem</w:t>
            </w:r>
          </w:p>
        </w:tc>
        <w:tc>
          <w:tcPr>
            <w:tcW w:type="dxa" w:w="3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O que melhorar</w:t>
            </w:r>
          </w:p>
        </w:tc>
      </w:tr>
      <w:t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Processo / gestão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Gestão integrada com o AASP_AndamentosProcessuais (time, ambiente e ciclo compartilhados)</w:t>
            </w:r>
          </w:p>
        </w:tc>
        <w:tc>
          <w:tcPr>
            <w:tcW w:type="dxa" w:w="3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Previsibilidade do escopo da 2ª instância EPROC (pausa/retomada)</w:t>
            </w:r>
          </w:p>
        </w:tc>
      </w:tr>
      <w:t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Técnico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DataJud/CNJ como fonte primária reduziu custo; BrowserPool e acesso direto estabilizaram o crawler; token compartilhado (PonteAPI)</w:t>
            </w:r>
          </w:p>
        </w:tc>
        <w:tc>
          <w:tcPr>
            <w:tcW w:type="dxa" w:w="3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Cobertura de testes automatizados (79% &lt; meta 80%)</w:t>
            </w:r>
          </w:p>
        </w:tc>
      </w:tr>
      <w:t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Comunicação com o cliente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Devolutiva aos associados e alinhamentos registrados em atas</w:t>
            </w:r>
          </w:p>
        </w:tc>
        <w:tc>
          <w:tcPr>
            <w:tcW w:type="dxa" w:w="3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Antecipar validações de homologação</w:t>
            </w:r>
          </w:p>
        </w:tc>
      </w:tr>
      <w:tr>
        <w:tc>
          <w:tcPr>
            <w:tcW w:type="dxa" w:w="21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Estimativas</w:t>
            </w:r>
          </w:p>
        </w:tc>
        <w:tc>
          <w:tcPr>
            <w:tcW w:type="dxa" w:w="36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Esforço realizado próximo do estimado (+2,5%)</w:t>
            </w:r>
          </w:p>
        </w:tc>
        <w:tc>
          <w:tcPr>
            <w:tcW w:type="dxa" w:w="3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Reservar buffer para a estabilização do crawler (Fase 5 +36%)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i/>
          <w:iCs/>
          <w:color w:val="777777"/>
          <w:sz w:val="17"/>
          <w:szCs w:val="17"/>
        </w:rPr>
        <w:t>Formulário preenchido a partir da Planilha de Gestão GEST-AASPCNJ01 e das evidências do projeto (Azure DevOps, Jira, Swagger), em 14/06/2026.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INTAKE-PROJETO — AASP_AndamentosProcessuais  ·  Timeware Brasil  ·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BBBBB" w:sz="4" w:space="3"/>
      </w:pBdr>
      <w:spacing w:after="140" w:before="28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INTAKE-PROJETO — AASP_AndamentosProcessuais</dc:title>
  <dc:creator>Lucas Batista</dc:creator>
  <dc:description>INTAKE-PROJETO — AASP_AndamentosProcessuais</dc:description>
  <cp:lastModifiedBy>Un-named</cp:lastModifiedBy>
  <cp:revision>1</cp:revision>
  <dcterms:created xsi:type="dcterms:W3CDTF">2026-06-14T21:47:03.638Z</dcterms:created>
  <dcterms:modified xsi:type="dcterms:W3CDTF">2026-06-14T21:47:03.639Z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