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ÍNDICE DE REGISTROS DO PROJETO — AASP_AUTOMACAO-GOVERNANCA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AASP-GOV   ·   Versão Data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INDICE-AASP-GOV-001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AASP-GOV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Natureza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Documento de controle / índice — apoio interno. Organiza os registros do projeto; </w:t>
            </w:r>
            <w:r>
              <w:rPr>
                <w:rFonts w:ascii="Calibri" w:hAnsi="Calibri"/>
                <w:b/>
                <w:i w:val="0"/>
                <w:sz w:val="20"/>
              </w:rPr>
              <w:t>não é, ele próprio, evidência auditável pela ASR</w:t>
            </w:r>
            <w:r>
              <w:rPr>
                <w:rFonts w:ascii="Calibri" w:hAnsi="Calibri"/>
                <w:b w:val="0"/>
                <w:i w:val="0"/>
                <w:sz w:val="20"/>
              </w:rPr>
              <w:t>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Fonte consolidada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AASP_AutomacaoGovernanca_Registro_de_Projeto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v2.0 (08/06/2026)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Como usar:</w:t>
      </w:r>
      <w:r>
        <w:rPr>
          <w:rFonts w:ascii="Calibri" w:hAnsi="Calibri"/>
          <w:b w:val="0"/>
          <w:i w:val="0"/>
          <w:color w:val="1A5276"/>
          <w:sz w:val="22"/>
        </w:rPr>
        <w:t xml:space="preserve"> este índice mapeia todos os registros MPS produzidos para o projeto AASP-GOV, a área de processo de cada um e a seção do documento-fonte que o alimenta. O projeto está </w:t>
      </w:r>
      <w:r>
        <w:rPr>
          <w:rFonts w:ascii="Calibri" w:hAnsi="Calibri"/>
          <w:b/>
          <w:i w:val="0"/>
          <w:color w:val="1A5276"/>
          <w:sz w:val="22"/>
        </w:rPr>
        <w:t>encerrado</w:t>
      </w:r>
      <w:r>
        <w:rPr>
          <w:rFonts w:ascii="Calibri" w:hAnsi="Calibri"/>
          <w:b w:val="0"/>
          <w:i w:val="0"/>
          <w:color w:val="1A5276"/>
          <w:sz w:val="22"/>
        </w:rPr>
        <w:t xml:space="preserve"> (02/06/2026), portanto todos os registros de execução e de encerramento foram produzidos.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 e momento do projeto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Início:</w:t>
      </w:r>
      <w:r>
        <w:rPr>
          <w:rFonts w:ascii="Calibri" w:hAnsi="Calibri"/>
          <w:b w:val="0"/>
          <w:i w:val="0"/>
          <w:sz w:val="22"/>
        </w:rPr>
        <w:t xml:space="preserve"> 14/04/2026 · </w:t>
      </w:r>
      <w:r>
        <w:rPr>
          <w:rFonts w:ascii="Calibri" w:hAnsi="Calibri"/>
          <w:b/>
          <w:i w:val="0"/>
          <w:sz w:val="22"/>
        </w:rPr>
        <w:t>Encerramento:</w:t>
      </w:r>
      <w:r>
        <w:rPr>
          <w:rFonts w:ascii="Calibri" w:hAnsi="Calibri"/>
          <w:b w:val="0"/>
          <w:i w:val="0"/>
          <w:sz w:val="22"/>
        </w:rPr>
        <w:t xml:space="preserve"> 02/06/2026 · </w:t>
      </w:r>
      <w:r>
        <w:rPr>
          <w:rFonts w:ascii="Calibri" w:hAnsi="Calibri"/>
          <w:b/>
          <w:i w:val="0"/>
          <w:sz w:val="22"/>
        </w:rPr>
        <w:t>Duração:</w:t>
      </w:r>
      <w:r>
        <w:rPr>
          <w:rFonts w:ascii="Calibri" w:hAnsi="Calibri"/>
          <w:b w:val="0"/>
          <w:i w:val="0"/>
          <w:sz w:val="22"/>
        </w:rPr>
        <w:t xml:space="preserve"> ~7 semanas.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Status atual:</w:t>
      </w:r>
      <w:r>
        <w:rPr>
          <w:rFonts w:ascii="Calibri" w:hAnsi="Calibri"/>
          <w:b w:val="0"/>
          <w:i w:val="0"/>
          <w:sz w:val="22"/>
        </w:rPr>
        <w:t xml:space="preserve"> Encerrado — desenvolvimento concluído, homologado e aceite emitido.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Auditoria GQA:</w:t>
      </w:r>
      <w:r>
        <w:rPr>
          <w:rFonts w:ascii="Calibri" w:hAnsi="Calibri"/>
          <w:b w:val="0"/>
          <w:i w:val="0"/>
          <w:sz w:val="22"/>
        </w:rPr>
        <w:t xml:space="preserve"> realizada em 08/06/2026 (Jonathan Barbosa, independente) — 10 de 10 itens conformes, 0 desvios.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Equipe:</w:t>
      </w:r>
      <w:r>
        <w:rPr>
          <w:rFonts w:ascii="Calibri" w:hAnsi="Calibri"/>
          <w:b w:val="0"/>
          <w:i w:val="0"/>
          <w:sz w:val="22"/>
        </w:rPr>
        <w:t xml:space="preserve"> Cezar Hiraki Velazquez (GP / Tech Lead), Raony Chagas (Dev Sênior), Allan Barbosa Patrocínio Alves (Dev). Patrocinador/cliente: Marcos Correa Fernandez Turnes (AASP).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Registros produzidos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Legenda de status:</w:t>
      </w:r>
      <w:r>
        <w:rPr>
          <w:rFonts w:ascii="Calibri" w:hAnsi="Calibri"/>
          <w:b w:val="0"/>
          <w:i w:val="0"/>
          <w:sz w:val="22"/>
        </w:rPr>
        <w:t xml:space="preserve"> ✅ gerado (15/06/2026).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artefato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Seção-fonte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Adaptação do Processo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Verificação e Validação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10.1–10.4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Execução de Testes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10.2, 10.3, 10.5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Gerência de Configuração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Análise de Decisão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Medição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Aquisição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Capacitação da Equipe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Acompanhamento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6, 10.5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Revisão por Pares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8.2, 14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GQA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Reunião de Abertura (Kickoff)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1.3, 3.3, 15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Aprendidas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TAE-AASP-GOV-001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Encerramento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GEST-AASP-GOV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de Gestão do Projeto (xlsx)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5, 6, 11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Cobertura de processos MPS-SW Nível C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documento-fonte lista os processos cobertos: </w:t>
      </w:r>
      <w:r>
        <w:rPr>
          <w:rFonts w:ascii="Calibri" w:hAnsi="Calibri"/>
          <w:b/>
          <w:i w:val="0"/>
          <w:sz w:val="22"/>
        </w:rPr>
        <w:t>GPR · REQ · OSW · ITP · VV · GPC · MED · GDE · GCO · CAP · AQU</w:t>
      </w:r>
      <w:r>
        <w:rPr>
          <w:rFonts w:ascii="Calibri" w:hAnsi="Calibri"/>
          <w:b w:val="0"/>
          <w:i w:val="0"/>
          <w:sz w:val="22"/>
        </w:rPr>
        <w:t>. Mapeamento para os registros: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Registro(s)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— Gerência de Projetos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TAP, ADAP, PLA, RAC, LI, TAE, GEST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— Engenharia de Requisitos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REQ, RASTR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/ PCP — Projeto e Construção do Produto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(seção rotulada "OSW" na fonte, reclassificada como PCP — OSW é processo organizacional, não de projeto)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— Integração do Produto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— Verificação e Validação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VV, REL-VV, REV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— Gerência de Processos (GQA)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— Medição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 — Gerência de Decisões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— Gerência de Configuração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— Capacitação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 — Aquisição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 — Governança Organizacional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de classificação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Seção 7 do doc-fonte está rotulada "(OSW)"</w:t>
      </w:r>
      <w:r>
        <w:rPr>
          <w:rFonts w:ascii="Calibri" w:hAnsi="Calibri"/>
          <w:b w:val="0"/>
          <w:i w:val="0"/>
          <w:sz w:val="22"/>
        </w:rPr>
        <w:t xml:space="preserve">, mas o conteúdo (arquitetura, camadas, fluxo, mapeamento de entidades) é de </w:t>
      </w:r>
      <w:r>
        <w:rPr>
          <w:rFonts w:ascii="Calibri" w:hAnsi="Calibri"/>
          <w:b/>
          <w:i w:val="0"/>
          <w:sz w:val="22"/>
        </w:rPr>
        <w:t>PCP</w:t>
      </w:r>
      <w:r>
        <w:rPr>
          <w:rFonts w:ascii="Calibri" w:hAnsi="Calibri"/>
          <w:b w:val="0"/>
          <w:i w:val="0"/>
          <w:sz w:val="22"/>
        </w:rPr>
        <w:t>. Gerado como PCP-AASP-GOV-001.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Change Request (CR):</w:t>
      </w:r>
      <w:r>
        <w:rPr>
          <w:rFonts w:ascii="Calibri" w:hAnsi="Calibri"/>
          <w:b w:val="0"/>
          <w:i w:val="0"/>
          <w:sz w:val="22"/>
        </w:rPr>
        <w:t xml:space="preserve"> não se aplica — o escopo foi fixo desde a abertura; ocorreram apenas correções de defeitos na homologação (Fase 4), não mudanças de escopo.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AQU:</w:t>
      </w:r>
      <w:r>
        <w:rPr>
          <w:rFonts w:ascii="Calibri" w:hAnsi="Calibri"/>
          <w:b w:val="0"/>
          <w:i w:val="0"/>
          <w:sz w:val="22"/>
        </w:rPr>
        <w:t xml:space="preserve"> diferentemente de projetos sem subcontratação, este registro foi produzido porque o doc-fonte lista AQU como processo coberto e detalha as dependências de terceiros (APIs externas + pacotes NuGet); o registro é "leve" (sem subcontratação de desenvolvimento).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Formato:</w:t>
      </w:r>
      <w:r>
        <w:rPr>
          <w:rFonts w:ascii="Calibri" w:hAnsi="Calibri"/>
          <w:b w:val="0"/>
          <w:i w:val="0"/>
          <w:sz w:val="22"/>
        </w:rPr>
        <w:t xml:space="preserve"> registros produzidos em Markdown (</w:t>
      </w:r>
      <w:r>
        <w:rPr>
          <w:rFonts w:ascii="Courier New" w:hAnsi="Courier New"/>
          <w:b w:val="0"/>
          <w:i w:val="0"/>
          <w:color w:val="333333"/>
          <w:sz w:val="20"/>
        </w:rPr>
        <w:t>.md</w:t>
      </w:r>
      <w:r>
        <w:rPr>
          <w:rFonts w:ascii="Calibri" w:hAnsi="Calibri"/>
          <w:b w:val="0"/>
          <w:i w:val="0"/>
          <w:sz w:val="22"/>
        </w:rPr>
        <w:t>) com conversão para Word (</w:t>
      </w:r>
      <w:r>
        <w:rPr>
          <w:rFonts w:ascii="Courier New" w:hAnsi="Courier New"/>
          <w:b w:val="0"/>
          <w:i w:val="0"/>
          <w:color w:val="333333"/>
          <w:sz w:val="20"/>
        </w:rPr>
        <w:t>.docx</w:t>
      </w:r>
      <w:r>
        <w:rPr>
          <w:rFonts w:ascii="Calibri" w:hAnsi="Calibri"/>
          <w:b w:val="0"/>
          <w:i w:val="0"/>
          <w:sz w:val="22"/>
        </w:rPr>
        <w:t>) no padrão Timeware.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Criação do índice-mestre e geração dos 21 registros do projeto AASP-GOV a partir do documento-fonte consolidado v2.0 (08/06/2026),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.md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.docx</w:t>
            </w:r>
            <w:r>
              <w:rPr>
                <w:rFonts w:ascii="Calibri" w:hAnsi="Calibri"/>
                <w:b w:val="0"/>
                <w:i w:val="0"/>
                <w:sz w:val="20"/>
              </w:rPr>
              <w:t>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AASP-GOV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