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ADAPTAÇÃO DO PROCESSO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ADAP-AASP-GOV-001   ·   Versão Data   ·   14/04/2026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MR-MPS-SW:2024 — Nível 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adaptação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Justificativa da adaptação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AASP_Automacao-Governanca é um projeto de desenvolvimento de software de pequeno porte, com duração de aproximadamente 7 semanas, equipe de 3 pessoas e escopo bem delimitado. Em função dessas características, algumas práticas do processo MPS-SW padrão foram simplificadas sem comprometer a qualidade ou a rastreabilidade das entregas.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Adaptações aplicadas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— Gerência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e acompanhamento consolidados em documento único, sem plano de projeto separado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de curta duração com escopo fixo desde o início; o overhead de documento separado não agrega valor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— Cronograma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Cronograma por atividade em vez de sprints formais com cerimônias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pequena com comunicação direta; sprints formais não foram adotados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—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especificados e validados internamente com o cliente, sem documento de levantamento formal separado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definido em reunião de abertura; requisitos estabilizados antes do início do desenvolvimento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— Verificação e Validação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executados diretamente nos ambientes reais do Sensr e do Jira, sem ambiente de testes dedicado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comportamento crítico depende da compatibilidade real entre plataformas; mocks não seriam representativos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— Garantia da Qualidade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única ao encerramento, cobrindo todo o projeto retroativamente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de curta duração com entregável único; auditorias intermediárias não foram necessárias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— Medição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apurados ao encerramento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Coleta contínua não aplicável a projeto sem sprints formais; indicadores apurados sobre o ciclo completo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Processos mantidos integralmente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/ PCP — Arquitetura e decisões técnicas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Documentadas integralmente, incluindo todas as decisões relevantes (ver PCP-AASP-GOV-001 e GDE-AASP-GOV-001)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— Integração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Todas as integrações documentadas com contratos e fluxos de dados (ver ITP-AASP-GOV-001)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— Gerência de Configuração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versão via Azure DevOps com GitFlow aplicado integralmente (ver GCO-AASP-GOV-001)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 — Gerência de Decisões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Todas as decisões relevantes registradas com justificativa e impacto (ver GDE-AASP-GOV-001)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— Aquisição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Todas as dependências de terceiros identificadas e justificadas (ver AQU-AASP-GOV-001)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— Capacitação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Transferência de conhecimento documentada (ver CAP-AASP-GOV-001)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Pontos de controle obrigatórios (não adaptáveis)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Requisitos especificados e validados (REQ-AASP-GOV-001)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Plano de Projeto aprovado pelo cliente (baseline) — autorizado no Termo de Abertura (TAP-AASP-GOV-001)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Definição de Pronto aplicada (critérios de aceite CA01–CA07, ver VV-AASP-GOV-001)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Verificação e validação realizadas (VV / REL-VV-AASP-GOV-001)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Encerramento formal com aceite (TAE-AASP-GOV-001, aceite em 02/06/2026)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adaptação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14/04/2026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14/04/2026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ADAP-AASP-GOV-001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