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(RAD)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pelas decisões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(com o time de desenvolvimento)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decisões técnicas relevantes do projeto, com justificativa e impacto, conforme o processo de Gerência de Decisões (GDE). As decisões abaixo orientaram a arquitetura e a lógica de sincronização do serviço SensrJiraSync (ver PCP-AASP-GOV-001).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Decisões relevantes registradas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Estruturar a solução em três camadas: Core, Infrastructure e App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Separar contratos e modelos da implementação permite substituir serviços sem impactar a lógica de domínio e facilita a evolução futura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projetos distintos; dependências unidirecionais (App → Infrastructure → Core)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por desenvolvedor no Sensr (token JWT individual)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do Sensr retorna atividades filtradas por usuário; autenticação compartilhada retornaria dados sem filtragem adequada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DeveloperConfig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inclui credenciais Sensr;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realiza login por desenvolvedor a cada execução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Identificar cards migrados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do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Simples, sem dependência de campos personalizados; 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é único por projeto e permite lookup eficiente sem persistir estado entre execuções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extrai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ExtractSensrId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GetIssuesByEpicAsync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constrói dicionário indexado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Utilizar ADF para campos de texto no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Jira v3 exige ADF; o envio de texto plano resulta em erro. O ADF é JSON estruturado representando documentos como árvore de nós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BuildAdfDocument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conversão antes de qualquer envio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Converter HTML do Sensr para texto plano antes de enviar ao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HTML diretamente resultaria em tags visíveis para o usuário; a conversão preserva o conteúdo sem poluição de marcação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 HtmlHelper com HtmlAgilityPack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limitada a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Atualizar descrição e subtarefas a cada execução criaria risco de sobrescrever edições manuais feitas no Jira durante a transição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UpdateIssueIfNeededAsync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verifica e atualiza apenas o status; demais campos imutáveis após a criação inicial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Executar o serviço como Azure Scheduled Job stateless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Persistir estado adicionaria complexidade desnecessária; a idempotência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elimina a necessidade de rastrear o que já foi migrado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execução consulta o estado atual de ambas as plataformas, sem dependências externas além das APIs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Decisão de maior impacto — Fonte de identificação de cards (D03)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Problema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reconhecer, de forma confiável e sem estado externo, quais atividades do Sensr já foram migradas para o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Alternativas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(A) Persistir um mapa Sensr→Jira em base de dados; (B) usar um campo personalizado no Jira; (C) prefixar o summary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Escolha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Alternativa C —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Justificativa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Dispensa base de dados e campos personalizados; 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é único por projeto e permite reconstruir o índice a cada execução, garantindo idempotência (RNF01) e execução stateless (D07)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Cards criados manualmente sem 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não são reconhecidos — restrição documentada em REQ-AASP-GOV-001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consolidado de decisões (D01–D07)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GDE-AASP-GOV-001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