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 · Catálogo organizacional: PLA-MED-001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apuradas ao encerramento do projeto, conforme o PLA-MED-001, para apoiar a análise de prazo, esforço, qualidade e valor entregue. Conforme ADAP-AASP-GOV-001, os indicadores foram apurados sobre o ciclo completo (projeto sem sprints formais).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real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Eliminação de trabalho manual de migração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cards migrados automaticamente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sem intervenção manual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— zero duplicatas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duplicatas em todos os ciclos de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duplicatas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dos dados migrados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campos verificados com correspondência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conformidade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contenção de defeitos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(5 bugs corrigidos antes da entrega)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escapados para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 (% do esforço total)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 de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até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 (+20 h sobre estimativa)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NCs de GQA abertas ao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Atingida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Esforço realizado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Principal responsável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Desenvolvedor Sênior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Mapeamento e Autenticação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/ Desenvolvedor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 dos Serviços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/ Desenvolvedor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Homologação e Correções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/ Desenvolvedor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Análise de variâncias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realizado acima do estimado nas Fases 2, 3 e 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+20 h (+9%)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na camada de transformação (HTML/ADF, status) e ciclo de correção de defeitos na homologação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desvio de esforço de +9% manteve-se dentro da meta organizacional (≤ 10%). Não houve retrabalho fora do ciclo de correção de defeitos previsto na homologação, e nenhum defeito escapou para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PLA-MED-001, os resultados foram comunicados na homologação e consolidados no encerramento do projeto (ver TAE-AASP-GOV-001). Os indicadores de qualidade derivam da execução de testes registrada em REL-VV-AASP-GOV-001 e da auditoria GQA-AASP-GOV-001.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MED-AASP-GOV-001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