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2" w:space="0" w:color="003366"/>
        </w:pBdr>
        <w:spacing w:before="0" w:after="0"/>
      </w:pPr>
    </w:p>
    <w:p>
      <w:pPr>
        <w:spacing w:before="240" w:after="40"/>
      </w:pPr>
      <w:r>
        <w:rPr>
          <w:rFonts w:ascii="Calibri" w:hAnsi="Calibri"/>
          <w:b/>
          <w:color w:val="003366"/>
          <w:sz w:val="36"/>
        </w:rPr>
        <w:t>DOCUMENTO DE DESIGN — AASP_AUTOMACAO-GOVERNANCA · SENSRJIRASYNC</w:t>
      </w:r>
    </w:p>
    <w:p>
      <w:pPr>
        <w:spacing w:before="0" w:after="40"/>
      </w:pPr>
      <w:r>
        <w:rPr>
          <w:rFonts w:ascii="Calibri" w:hAnsi="Calibri"/>
          <w:color w:val="555555"/>
          <w:sz w:val="20"/>
        </w:rPr>
        <w:t>PCP-AASP-GOV-001   ·   Versão Data   ·   15/06/2026   ·   Timeware Brasil</w:t>
      </w:r>
    </w:p>
    <w:p>
      <w:pPr>
        <w:pBdr>
          <w:bottom w:val="single" w:sz="6" w:space="1" w:color="003366"/>
        </w:pBdr>
        <w:spacing w:before="120" w:after="28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Campo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Valor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Documento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PCP-AASP-GOV-001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Projeto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AASP_Automacao-Governanca — SensrJiraSync: Serviço de Sincronização de Atividades entre Sensr e Jira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1.0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Responsáveis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Cezar Hiraki Velazquez (GP / Tech Lead) · Raony Chagas (Desenvolvedor Sênior)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1. Visão geral da solução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alibri" w:hAnsi="Calibri"/>
          <w:b/>
          <w:i w:val="0"/>
          <w:sz w:val="22"/>
        </w:rPr>
        <w:t>SensrJiraSync</w:t>
      </w:r>
      <w:r>
        <w:rPr>
          <w:rFonts w:ascii="Calibri" w:hAnsi="Calibri"/>
          <w:b w:val="0"/>
          <w:i w:val="0"/>
          <w:sz w:val="22"/>
        </w:rPr>
        <w:t xml:space="preserve"> é um serviço de sincronização unidirecional (Sensr → Jira) desenvolvido em .NET 8, executado como processo agendado no Azure Scheduler. A cada execução, realiza a migração e a sincronização de atividades de todos os desenvolvedores configurados. O design atende aos requisitos de idempotência (RNF01), confiabilidade por desenvolvedor (RNF02), manutenibilidade por camadas (RNF04) e segurança de credenciais (RNF05).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2. Design técnico (arquitetura)</w:t>
      </w:r>
    </w:p>
    <w:p>
      <w:pPr>
        <w:pStyle w:val="Heading2"/>
        <w:keepNext/>
        <w:keepLines/>
      </w:pPr>
      <w:r>
        <w:t>2.1. Estrutura da solução em camadas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Projeto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Responsabilidade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Componentes principais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SensrJiraSync.Core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Contratos, modelos de domínio e mapeadores. Sem dependências externas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AppSettings, DeveloperConfig, ProjectConfig, SensrModels, JiraModels, StatusMapper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SensrJiraSync.Infrastructure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Implementação dos serviços de integração e helpers de transformação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SensrService, JiraService, SyncService, HtmlHelper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SensrJiraSync.App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Ponto de entrada, configuração e composição de dependências via DI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Program.cs, appsettings.json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Dependências unidirecionais: </w:t>
      </w:r>
      <w:r>
        <w:rPr>
          <w:rFonts w:ascii="Courier New" w:hAnsi="Courier New"/>
          <w:b w:val="0"/>
          <w:i w:val="0"/>
          <w:color w:val="333333"/>
          <w:sz w:val="20"/>
        </w:rPr>
        <w:t>App → Infrastructure → Core</w:t>
      </w:r>
      <w:r>
        <w:rPr>
          <w:rFonts w:ascii="Calibri" w:hAnsi="Calibri"/>
          <w:b w:val="0"/>
          <w:i w:val="0"/>
          <w:sz w:val="22"/>
        </w:rPr>
        <w:t xml:space="preserve"> (decisão D01).</w:t>
      </w:r>
    </w:p>
    <w:p>
      <w:pPr>
        <w:pStyle w:val="Heading2"/>
        <w:keepNext/>
        <w:keepLines/>
      </w:pPr>
      <w:r>
        <w:t>2.2. Fluxo de sincronização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O </w:t>
      </w:r>
      <w:r>
        <w:rPr>
          <w:rFonts w:ascii="Courier New" w:hAnsi="Courier New"/>
          <w:b w:val="0"/>
          <w:i w:val="0"/>
          <w:color w:val="333333"/>
          <w:sz w:val="20"/>
        </w:rPr>
        <w:t>SyncService</w:t>
      </w:r>
      <w:r>
        <w:rPr>
          <w:rFonts w:ascii="Calibri" w:hAnsi="Calibri"/>
          <w:b w:val="0"/>
          <w:i w:val="0"/>
          <w:sz w:val="22"/>
        </w:rPr>
        <w:t xml:space="preserve"> percorre os desenvolvedores configurados e, para cada um, autentica-se no Sensr.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Para cada projeto: busca as atividades do desenvolvedor via API Sensr.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Resolve ou cria o Epic correspondente no Jira pelo nome do projeto.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 xml:space="preserve">Busca as Tasks existentes sob o Epic, indexadas pelo prefixo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no summary.</w:t>
      </w:r>
    </w:p>
    <w:p>
      <w:pPr>
        <w:pStyle w:val="ListNumber"/>
        <w:spacing w:before="20" w:after="40"/>
      </w:pPr>
      <w:r>
        <w:rPr>
          <w:rFonts w:ascii="Calibri" w:hAnsi="Calibri"/>
          <w:b w:val="0"/>
          <w:i w:val="0"/>
          <w:sz w:val="22"/>
        </w:rPr>
        <w:t>Para cada atividade: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Se o </w:t>
      </w:r>
      <w:r>
        <w:rPr>
          <w:rFonts w:ascii="Courier New" w:hAnsi="Courier New"/>
          <w:b w:val="0"/>
          <w:i w:val="0"/>
          <w:color w:val="333333"/>
          <w:sz w:val="20"/>
        </w:rPr>
        <w:t>#ID</w:t>
      </w:r>
      <w:r>
        <w:rPr>
          <w:rFonts w:ascii="Calibri" w:hAnsi="Calibri"/>
          <w:b w:val="0"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não existe</w:t>
      </w:r>
      <w:r>
        <w:rPr>
          <w:rFonts w:ascii="Calibri" w:hAnsi="Calibri"/>
          <w:b w:val="0"/>
          <w:i w:val="0"/>
          <w:sz w:val="22"/>
        </w:rPr>
        <w:t xml:space="preserve"> → cria Task completa com descrição, labels, status, histórico como comentários e subtarefas.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 xml:space="preserve">- Se </w:t>
      </w:r>
      <w:r>
        <w:rPr>
          <w:rFonts w:ascii="Calibri" w:hAnsi="Calibri"/>
          <w:b/>
          <w:i w:val="0"/>
          <w:sz w:val="22"/>
        </w:rPr>
        <w:t>já existe</w:t>
      </w:r>
      <w:r>
        <w:rPr>
          <w:rFonts w:ascii="Calibri" w:hAnsi="Calibri"/>
          <w:b w:val="0"/>
          <w:i w:val="0"/>
          <w:sz w:val="22"/>
        </w:rPr>
        <w:t xml:space="preserve"> → verifica divergência de status e aplica a transição se necessário.</w:t>
      </w:r>
    </w:p>
    <w:p>
      <w:pPr>
        <w:pStyle w:val="Heading2"/>
        <w:keepNext/>
        <w:keepLines/>
      </w:pPr>
      <w:r>
        <w:t>2.3. Mapeamento de entidades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Entidade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Entidade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Observações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Projeto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name_project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Epic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Um Epic por projeto, reutilizado em execuções subsequentes via busca por nome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Atividade (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activity</w:t>
            </w:r>
            <w:r>
              <w:rPr>
                <w:rFonts w:ascii="Calibri" w:hAnsi="Calibri"/>
                <w:b w:val="0"/>
                <w:i w:val="0"/>
                <w:sz w:val="20"/>
              </w:rPr>
              <w:t>)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Task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Summary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; descrição com texto, progresso, tempo gasto e responsáveis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Sub-atividade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Subtask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Vinculada à Task pai; summary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 Nome</w:t>
            </w:r>
            <w:r>
              <w:rPr>
                <w:rFonts w:ascii="Calibri" w:hAnsi="Calibri"/>
                <w:b w:val="0"/>
                <w:i w:val="0"/>
                <w:sz w:val="20"/>
              </w:rPr>
              <w:t>; descrição convertida de HTML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Comentários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Cada entrada do histórico HTML convertida e adicionada como comentário individual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Tags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Labels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Sanitizadas: espaços e barras substituídos por underscore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 Sensr →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Transição de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TODO→To Do, DOING→In Progress, VALIDATION→To Test, STOPPED→Blocked, DONE→Done</w:t>
            </w:r>
          </w:p>
        </w:tc>
      </w:tr>
    </w:tbl>
    <w:p>
      <w:pPr>
        <w:spacing w:before="0" w:after="160"/>
      </w:pPr>
    </w:p>
    <w:p>
      <w:pPr>
        <w:pStyle w:val="Heading2"/>
        <w:keepNext/>
        <w:keepLines/>
      </w:pPr>
      <w:r>
        <w:t>2.4. Decisões de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Decisão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Escolha e justificativa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RAD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Estrutura da solução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Três camadas (Core, Infrastructure, App) — substituição de serviços sem impacto na lógica de domínio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Autenticação Sensr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Por desenvolvedor (token JWT individual) — a API retorna atividades filtradas por usuário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Identificação de cards migrados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Prefixo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summary — lookup eficiente sem persistir estado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(D03)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Texto rico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ADF (Atlassian Document Format) — exigido pela API Jira v3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(D04)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Conversão de HTML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HtmlHelper converte HTML do Sensr para texto plano antes do envio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(D05)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Sincronização incremental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Limitada a status — evita sobrescrever edições manuais no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(D06)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Execução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Azure Scheduled Job stateless — idempotência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dispensa rastrear estado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GDE-AASP-GOV-001 (D07)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3. Design de produto (UX/UI) — não aplicável</w:t>
      </w: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Serviço de retaguarda (Azure Scheduled Job), sem interface de usuário. Conforme ADAP-AASP-GOV-001, o design de UX/UI não se aplica.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4. Rastreabilidade requisito →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4451"/>
        <w:gridCol w:w="4451"/>
      </w:tblGrid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Requisito (ID)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Elemento de design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SensrService — login JWT por desenvolvedor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RF02, RF03, RF04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JiraService — criação de Epic, Task e Subtask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RF05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SyncService —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UpdateIssueIfNeededAsync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(transição de status)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RF06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JiraService — comentários a partir de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description_history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RF07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HtmlHelper +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BuildAdfDocument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(HTML → texto plano → ADF)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RF08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StatusMapper (mapeamento Sensr → Jira)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RF09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SanitizeLabel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RF10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AppSettings / DeveloperConfig / ProjectConfig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RF11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Program.cs — bootstrap via DI; código de saída em falha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RNF01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Verificação por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#ID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GetIssuesByEpicAsync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antes de criar</w:t>
            </w:r>
          </w:p>
        </w:tc>
      </w:tr>
      <w:tr>
        <w:trPr>
          <w:cantSplit w:val="1"/>
        </w:trPr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RNF04</w:t>
            </w:r>
          </w:p>
        </w:tc>
        <w:tc>
          <w:tcPr>
            <w:tcW w:type="dxa" w:w="4451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Separação Core / Infrastructure / App</w:t>
            </w:r>
          </w:p>
        </w:tc>
      </w:tr>
    </w:tbl>
    <w:p>
      <w:pPr>
        <w:spacing w:before="0" w:after="160"/>
      </w:pPr>
    </w:p>
    <w:p>
      <w:pPr>
        <w:spacing w:before="0" w:after="120"/>
      </w:pPr>
      <w:r>
        <w:rPr>
          <w:rFonts w:ascii="Calibri" w:hAnsi="Calibri"/>
          <w:b w:val="0"/>
          <w:i w:val="0"/>
          <w:sz w:val="22"/>
        </w:rPr>
        <w:t>Matriz completa em RASTR-AASP-GOV-001.</w:t>
      </w:r>
    </w:p>
    <w:p>
      <w:pPr>
        <w:pStyle w:val="Heading1"/>
        <w:keepNext/>
        <w:keepLines/>
        <w:pBdr>
          <w:bottom w:val="single" w:sz="4" w:space="2" w:color="D6E4F0"/>
        </w:pBdr>
      </w:pPr>
      <w:r>
        <w:t>5. Avaliação do design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3366"/>
          <w:left w:val="single" w:sz="4" w:space="0" w:color="003366"/>
          <w:bottom w:val="single" w:sz="4" w:space="0" w:color="003366"/>
          <w:right w:val="single" w:sz="4" w:space="0" w:color="003366"/>
          <w:insideH w:val="single" w:sz="4" w:space="0" w:color="003366"/>
          <w:insideV w:val="single" w:sz="4" w:space="0" w:color="003366"/>
        </w:tblBorders>
      </w:tblPr>
      <w:tblGrid>
        <w:gridCol w:w="2967"/>
        <w:gridCol w:w="2967"/>
        <w:gridCol w:w="2967"/>
      </w:tblGrid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 avaliado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Problema encontrado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003366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Tratamento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Envio de campos de texto rico ao Jira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HTML do Sensr enviado diretamente causava formatação inválida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HtmlHelper com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ToPlainText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ParseDescriptionHistory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(BUG-01)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Transições de status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Transições falhando silenciosamente quando o status alvo estava indisponível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Consulta prévia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GetTransitionsAsync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e log de aviso (BUG-02)</w:t>
            </w:r>
          </w:p>
        </w:tc>
      </w:tr>
      <w:tr>
        <w:trPr>
          <w:cantSplit w:val="1"/>
        </w:trPr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Busca de issues por Epic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Ausência de paginação em projetos com muitos cards</w:t>
            </w:r>
          </w:p>
        </w:tc>
        <w:tc>
          <w:tcPr>
            <w:tcW w:type="dxa" w:w="2967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EBF5FB"/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 xml:space="preserve">Paginação via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nextPageToken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no </w:t>
            </w:r>
            <w:r>
              <w:rPr>
                <w:rFonts w:ascii="Courier New" w:hAnsi="Courier New"/>
                <w:b w:val="0"/>
                <w:i w:val="0"/>
                <w:color w:val="333333"/>
                <w:sz w:val="20"/>
              </w:rPr>
              <w:t>GetIssuesByEpicAsync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(BUG-05)</w:t>
            </w:r>
          </w:p>
        </w:tc>
      </w:tr>
    </w:tbl>
    <w:p>
      <w:pPr>
        <w:spacing w:before="0" w:after="160"/>
      </w:pPr>
    </w:p>
    <w:p>
      <w:pPr>
        <w:pStyle w:val="Heading1"/>
        <w:keepNext/>
        <w:keepLines/>
        <w:pBdr>
          <w:bottom w:val="single" w:sz="4" w:space="2" w:color="D6E4F0"/>
        </w:pBdr>
      </w:pPr>
      <w:r>
        <w:t>Controle de atualizações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blGrid>
        <w:gridCol w:w="2225"/>
        <w:gridCol w:w="2225"/>
        <w:gridCol w:w="2225"/>
        <w:gridCol w:w="2225"/>
      </w:tblGrid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Versão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Data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Autor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D6E4F0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Descrição da mudança</w:t>
            </w:r>
          </w:p>
        </w:tc>
      </w:tr>
      <w:tr>
        <w:trPr>
          <w:cantSplit w:val="1"/>
        </w:trPr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i w:val="0"/>
                <w:sz w:val="20"/>
              </w:rPr>
              <w:t>1.0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15/06/2026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Time de Melhoria Contínua</w:t>
            </w:r>
          </w:p>
        </w:tc>
        <w:tc>
          <w:tcPr>
            <w:tcW w:type="dxa" w:w="2225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i w:val="0"/>
                <w:sz w:val="20"/>
              </w:rPr>
              <w:t>Documento de design consolidado a partir do Registro de Projeto AASP_Automacao-Governanca v2.0 (08/06/2026) — seção 7 (rotulada "OSW" na fonte) reclassificada como PCP.</w:t>
            </w:r>
          </w:p>
        </w:tc>
      </w:tr>
    </w:tbl>
    <w:p>
      <w:pPr>
        <w:spacing w:before="0" w:after="160"/>
      </w:pP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587" w:right="1417" w:bottom="1417" w:left="158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8901"/>
      </w:tabs>
      <w:pBdr>
        <w:top w:val="single" w:sz="4" w:space="4" w:color="003366"/>
      </w:pBdr>
      <w:spacing w:before="80" w:after="0"/>
    </w:pPr>
    <w:r>
      <w:rPr>
        <w:rFonts w:ascii="Calibri" w:hAnsi="Calibri"/>
        <w:color w:val="555555"/>
        <w:sz w:val="16"/>
      </w:rPr>
      <w:t>vData  ·  15/06/2026</w:t>
    </w:r>
    <w:r>
      <w:tab/>
    </w:r>
    <w:r>
      <w:rPr>
        <w:rFonts w:ascii="Calibri" w:hAnsi="Calibri"/>
        <w:color w:val="555555"/>
        <w:sz w:val="16"/>
      </w:rPr>
      <w:t xml:space="preserve">Página </w:t>
    </w:r>
    <w:r>
      <w:rPr>
        <w:rFonts w:ascii="Calibri" w:hAnsi="Calibri"/>
        <w:sz w:val="16"/>
      </w:rPr>
      <w:fldChar w:fldCharType="begin"/>
      <w:instrText xml:space="preserve"> PAGE </w:instrText>
      <w:fldChar w:fldCharType="end"/>
    </w:r>
    <w:r>
      <w:rPr>
        <w:rFonts w:ascii="Calibri" w:hAnsi="Calibri"/>
        <w:color w:val="555555"/>
        <w:sz w:val="16"/>
      </w:rPr>
      <w:t xml:space="preserve"> de </w:t>
    </w:r>
    <w:r>
      <w:rPr>
        <w:rFonts w:ascii="Calibri" w:hAnsi="Calibri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val="right" w:pos="8901"/>
      </w:tabs>
      <w:pBdr>
        <w:bottom w:val="single" w:sz="8" w:space="4" w:color="003366"/>
      </w:pBdr>
      <w:spacing w:before="0" w:after="80"/>
    </w:pPr>
    <w:r>
      <w:rPr>
        <w:rFonts w:ascii="Calibri" w:hAnsi="Calibri"/>
        <w:b/>
        <w:color w:val="003366"/>
        <w:sz w:val="18"/>
      </w:rPr>
      <w:t>TIMEWARE</w:t>
    </w:r>
    <w:r>
      <w:rPr>
        <w:rFonts w:ascii="Calibri" w:hAnsi="Calibri"/>
        <w:color w:val="555555"/>
        <w:sz w:val="18"/>
      </w:rPr>
      <w:t xml:space="preserve">   ·   PCP-AASP-GOV-001</w:t>
    </w:r>
    <w:r>
      <w:tab/>
    </w:r>
    <w:r>
      <w:rPr>
        <w:rFonts w:ascii="Calibri" w:hAnsi="Calibri"/>
        <w:color w:val="555555"/>
        <w:sz w:val="18"/>
      </w:rPr>
      <w:t>Projeto e Construção do Produto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Rule="auto" w:line="276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03366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A52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i/>
      <w:color w:val="1A527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