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Desenvolver o 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 xml:space="preserve"> — solução .NET 8 executada como Azure Scheduled Job que migra cards do Sensr para o Jira e mantém a sincronização incremental de status durante o período de transição entre as duas ferramentas. A AASP migra sua gestão de projetos do Sensr para o Jira de forma gradual, com operação em paralelo durante a transição. Ver REQ-AASP-GOV-001 para os requisitos detalhados.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autenticação nas APIs Sensr (por desenvolvedor) e Jira; migração de projetos (Epics), atividades (Tasks) e sub-atividades (Subtasks) com preservação de hierarquia, descrição, status, responsáveis, labels e histórico; sincronização incremental de status; execução agendada e não supervisionada via Azure Scheduler.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sincronização bidirecional (apenas Sensr → Jira); atualização de campos de cards já migrados além do status.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REQ-AASP-GOV-001.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processo-padrão (PRO-GPR-001) foi adaptado a este projeto. Registro completo em ADAP-AASP-GOV-001. Principais decisões: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Consolidados em documento único, sem plano separado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curta duração com escopo fixo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atividade, sem sprints formais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pequena com comunicação direta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especifica; AASP valida e homologa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definido na reunião de abertura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apurados ao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sprints formais; ciclo único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Estrutura de fases e entregas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da arquitetura em camadas, estrutura de projetos, contratos de interface e modelo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16/04/2026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 e Autenticação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dos endpoints das APIs Sensr e Jira; implementação dos fluxos de autenticação JWT (Sensr) e Basic Auth (Jira)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23/04/2026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 dos Serviços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 SensrService, JiraService, SyncService, StatusMapper, HtmlHelper, modelos de dados e fluxo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 – 20/05/2026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 e 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em ambiente real, comparação de cards migrados, identificação e correção de defeitos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executado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principal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Início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da arquitetura em camadas (Core, Infrastructure, App)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modelo de configuração (AppSettings, DeveloperConfig, ProjectConfig)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dos endpoints da API Sensr (login, atividades, detalhe, sub-atividades)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dos endpoints da API Jira v3 (search, create, transitions, comments)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 fluxo de autenticação Sensr (JWT por desenvolvedor)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 fluxo de autenticação Jira (Basic Auth com API Token)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dos modelos de dados Sensr (SensrModels.cs)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dos modelos de dados Jira (JiraModels.cs, ADF)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SensrService (login, atividades, detalhe, sub-atividades)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JiraService (epic, task, subtask, transitions, comments)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StatusMapper (mapeamento de status Sensr → Jira)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HtmlHelper (ToPlainText, ParseDescriptionHistory)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SyncService — fluxo de criação de issues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 SyncService — fluxo de atualização (sincronização incremental)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 Program.cs e bootstrap via DI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do Azure Scheduled Job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inicial em homologação e comparação com dados do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e correção de defeitos na atualização de cards existentes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Reteste e validação final dos critérios de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Estimativas de esforço (GPR 3, 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 e Autenticação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 dos Serviços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 e Correções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Desvio de esforço: </w:t>
      </w:r>
      <w:r>
        <w:rPr>
          <w:rFonts w:ascii="Calibri" w:hAnsi="Calibri"/>
          <w:b/>
          <w:i w:val="0"/>
          <w:sz w:val="22"/>
        </w:rPr>
        <w:t>+9% (+20 h)</w:t>
      </w:r>
      <w:r>
        <w:rPr>
          <w:rFonts w:ascii="Calibri" w:hAnsi="Calibri"/>
          <w:b w:val="0"/>
          <w:i w:val="0"/>
          <w:sz w:val="22"/>
        </w:rPr>
        <w:t>, dentro da meta de ≤ 10% (ver MED-AASP-GOV-001).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Recursos (GPR 6, 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2, 3 e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Barbosa Patrocínio Alves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2, 3 e 4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Azure DevOps (controle de versão e pipeline CI/CD), Azure Scheduler (execução agendada), .NET 8. Ver GCO-AASP-GOV-001.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(Patrocinador / Cliente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 comportamento e aceite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abertura e homologação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e decisões técnicas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direto e revisão de código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(Auditor GQA)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processo MPS-SW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ao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identificados e tratamentos (GPR 10)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Exposição = Probabilidade × Impacto (escala 1 = Baixo · 2 = Médio · 3 = Alto).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Imp.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Exp.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Tratamento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de cards duplicados no Jira por execuções repetidas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Mitigar: verificação de existência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antes de qualquer criação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Controlado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Diferenças de formato entre modelos de dados das plataformas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Mitigar: camada de transformação dedicada — StatusMapper e HtmlHelper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Controlado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Falha de autenticação de um desenvolvedor interrompendo toda a execução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Mitigar: tratamento de exceção por desenvolvedor no SyncService com continuidade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Controlado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inconsistente da API Jira para transições de status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Mitigar: consulta prévia das transições disponíveis antes de aplicar; log de aviso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⚠️ Ocorreu — corrigido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Volume elevado de issues no Epic exigindo paginação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Mitigar: 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GetIssuesByEpicAsync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Controlado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Campos de texto rico do Sensr em HTML incompatível com Jira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Mitigar: HtmlHelper para conversão de HTML para texto plano e serialização para ADF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⚠️ Ocorreu — corrigido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 (AASP)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do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(TAP-AASP-GOV-001)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do plano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baseline de aprovação foi estabelecida na abertura (TAP-AASP-GOV-001) e o aceite final foi registrado no encerramento (TAE-AASP-GOV-001, 02/06/2026).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