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RELATÓRIO DE ACOMPANHAMENTO (STATUS REPORT)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RAC-AASP-GOV-001   ·   Versão Data   ·   Evento / motivo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Período de 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Maio–Junho/2026 — Fase 4 (Homologação e Correções)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do relatório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Destinatários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(Patrocinador / Cliente — AASP)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Situação geral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Desenvolvimento concluído (Fases 1–3) e homologação finalizada (Fase 4). O projeto foi encerrado em 02/06/2026, com aceite formal do cliente.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Comentário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Prazo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 No prazo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 em 02/06/2026, conforme a data prevista no TAP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Escopo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 Estável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 fixo desde a abertura; nenhuma mudança de escopo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Risco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 Sob controle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R-04 e R-06 ocorreram e foram corrigidos; demais riscos controlados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Qualidade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 Dentro do esperado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defeitos tratados; 100% dos critérios de aceite validados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Resumo do período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Na Fase 4, o serviço foi executado em ambiente real e os cards criados no Jira foram comparados aos registros originais do Sensr. Os defeitos identificados na conversão de HTML, nas transições de status, na comparação de status, na sanitização de labels e na paginação de issues foram corrigidos e retestados. A validação final dos critérios de aceite foi concluída em 02/06/2026.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Indicadores do período (destaque):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total realizado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236 h (estimado 216 h; +9%)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Fases concluídas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 de 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Cenários de teste aprovados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de 5 (100%)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tratados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de 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Entregas realizadas no período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/ valor para 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Migração automatizada (Epics, Tasks, Subtasks)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Eliminação do trabalho manual de migração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Sincronização incremental de status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Visibilidade do gestor mantida durante a transição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Correção dos 5 defeitos da homologação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Fidelidade dos dados e estabilidade da sincronização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do Azure Scheduled Job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 agendada e não supervisionada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Diário de bordo (eventos e impactos)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Evento / motivo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Origem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21–23/05/2026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 inicial em homologação e comparação com o Sensr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Identificação de defeitos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23–29/05/2026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Correção de defeitos na atualização de cards existentes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Ajustes na camada de transformação e sincronização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 (BUG-01 a BUG-05)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29/05–02/06/2026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Reteste e validação final dos critérios de aceite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de 100% dos cenários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 do cliente e encerramento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aceita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 (TAE-AASP-GOV-001)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Indicadores do projeto (acompanhamento)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 / referência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 no encerramento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Tendência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estimado × realizado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10% desvio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+9% (236 h vs. 216 h)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➡️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escapados para produção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⬆️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Aderência ao prazo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até 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 em 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⬆️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Mudanças (change requests)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Não houve solicitações de mudança de escopo no período. O escopo permaneceu fixo desde a abertura (ver GCO-AASP-GOV-001 §4).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de acompanhamento (Fase 4) consolidado a partir do Registro de Projeto AASP_Automacao-Governanca v2.0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Evento / motivo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Evento / motivo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RAC-AASP-GOV-001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