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RASTREABILIDADE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RASTR-AASP-GOV-001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Matriz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Rastreabilidade requisito × fase de implementação × critério de aceite que o verifica (ver REQ-AASP-GOV-001 e VV-AASP-GOV-001).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resumida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 de implementação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no Sensr por desenvolvedor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Autenticação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 — Resiliência por 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ou reutilizar Epic no Jira por projeto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 — Fidelidade da hierarquia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Criar Task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campos preservados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CA02, CA03 — Hierarquia e conteúdo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Subtask vinculada à Task pai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 — Fidelidade da hierarquia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Verificar e atualizar status de card existente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CA05 — Sincronização incremental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Migrar histórico como comentários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CA06 — Migração do histórico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Converter HTML para ADF/texto plano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CA03 — Fidelidade do conteúdo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Mapear status Sensr → Jira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2/3 — Mapeamento/Dev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CA04, CA05 — Status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Sanitizar labels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CA03 — Fidelidade do conteúdo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Configuração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appsettings.json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1/3 — Arquitetura/Dev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 — Resiliência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Executável compatível com Azure Scheduler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ao cliente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Idempotência sem duplicatas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3/4 — Dev/Homologação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 — Sem duplicatas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Confiabilidade por desenvolvedor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 — Resiliência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 estruturado de operações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execução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Separação em camadas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Arquitetura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D01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 fora do código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1/3 — Arquitetura/Dev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D02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Compatibilidade .NET 8 / Azure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ao cliente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Verificado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Cobertura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Requisitos sem cobertura de critério:</w:t>
      </w:r>
      <w:r>
        <w:rPr>
          <w:rFonts w:ascii="Calibri" w:hAnsi="Calibri"/>
          <w:b w:val="0"/>
          <w:i w:val="0"/>
          <w:sz w:val="22"/>
        </w:rPr>
        <w:t xml:space="preserve"> nenhum — todos os RF e RNF têm critério de aceite ou marco de verificação associado.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Itens desenvolvidos sem requisito associado:</w:t>
      </w:r>
      <w:r>
        <w:rPr>
          <w:rFonts w:ascii="Calibri" w:hAnsi="Calibri"/>
          <w:b w:val="0"/>
          <w:i w:val="0"/>
          <w:sz w:val="22"/>
        </w:rPr>
        <w:t xml:space="preserve"> nenhum identificado.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critérios de aceite CA01–CA07 estão detalhados em VV-AASP-GOV-001; as decisões de arquitetura D01 e D02 estão em GDE-AASP-GOV-001.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 consolidada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RASTR-AASP-GOV-001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