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AASP_AUTOMACAO-GOVERNANCA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INDICE-AASPGOV01-001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Documento de controle / índice — apoio interno. Organiza os registros do projeto; </w:t>
            </w:r>
            <w:r>
              <w:rPr>
                <w:rFonts w:ascii="Calibri" w:hAnsi="Calibri"/>
                <w:b/>
                <w:i w:val="0"/>
                <w:sz w:val="20"/>
              </w:rPr>
              <w:t>não é, ele próprio, evidência auditável pela ASR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INTAKE-AASPGOV01_Formulario-de-Levantamento (14/06/2026) · RDP-AASPGOV01-001 v3.0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todos os registros MPS produzidos para o projeto AASPGOV01, a área de processo de cada um e a seção do formulário de levantamento (intake) que o alimenta. O projeto está </w:t>
      </w:r>
      <w:r>
        <w:rPr>
          <w:rFonts w:ascii="Calibri" w:hAnsi="Calibri"/>
          <w:b/>
          <w:i w:val="0"/>
          <w:color w:val="1A5276"/>
          <w:sz w:val="22"/>
        </w:rPr>
        <w:t>encerrado</w:t>
      </w:r>
      <w:r>
        <w:rPr>
          <w:rFonts w:ascii="Calibri" w:hAnsi="Calibri"/>
          <w:b w:val="0"/>
          <w:i w:val="0"/>
          <w:color w:val="1A5276"/>
          <w:sz w:val="22"/>
        </w:rPr>
        <w:t xml:space="preserve"> (02/06/2026); todos os registros de execução e de encerramento foram produzidos.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14/04/2026 · </w:t>
      </w:r>
      <w:r>
        <w:rPr>
          <w:rFonts w:ascii="Calibri" w:hAnsi="Calibri"/>
          <w:b/>
          <w:i w:val="0"/>
          <w:sz w:val="22"/>
        </w:rPr>
        <w:t>Encerramento:</w:t>
      </w:r>
      <w:r>
        <w:rPr>
          <w:rFonts w:ascii="Calibri" w:hAnsi="Calibri"/>
          <w:b w:val="0"/>
          <w:i w:val="0"/>
          <w:sz w:val="22"/>
        </w:rPr>
        <w:t xml:space="preserve"> 02/06/2026 · </w:t>
      </w:r>
      <w:r>
        <w:rPr>
          <w:rFonts w:ascii="Calibri" w:hAnsi="Calibri"/>
          <w:b/>
          <w:i w:val="0"/>
          <w:sz w:val="22"/>
        </w:rPr>
        <w:t>Duração:</w:t>
      </w:r>
      <w:r>
        <w:rPr>
          <w:rFonts w:ascii="Calibri" w:hAnsi="Calibri"/>
          <w:b w:val="0"/>
          <w:i w:val="0"/>
          <w:sz w:val="22"/>
        </w:rPr>
        <w:t xml:space="preserve"> ~7 semanas (49 dias).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b w:val="0"/>
          <w:i w:val="0"/>
          <w:sz w:val="22"/>
        </w:rPr>
        <w:t xml:space="preserve"> Encerrado — desenvolvimento concluído, homologado e aceite formal emitido.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Tecnologia:</w:t>
      </w:r>
      <w:r>
        <w:rPr>
          <w:rFonts w:ascii="Calibri" w:hAnsi="Calibri"/>
          <w:b w:val="0"/>
          <w:i w:val="0"/>
          <w:sz w:val="22"/>
        </w:rPr>
        <w:t xml:space="preserve"> .NET 8 LTS (C#) — Azure Scheduled Job · Azure DevOps (GitFlow) · Azure Key Vault.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Esforço:</w:t>
      </w:r>
      <w:r>
        <w:rPr>
          <w:rFonts w:ascii="Calibri" w:hAnsi="Calibri"/>
          <w:b w:val="0"/>
          <w:i w:val="0"/>
          <w:sz w:val="22"/>
        </w:rPr>
        <w:t xml:space="preserve"> 216 h estimadas → 236 h realizadas (+9,3%) · 59 SP em 4 sprints (S0–S3).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 GQA:</w:t>
      </w:r>
      <w:r>
        <w:rPr>
          <w:rFonts w:ascii="Calibri" w:hAnsi="Calibri"/>
          <w:b w:val="0"/>
          <w:i w:val="0"/>
          <w:sz w:val="22"/>
        </w:rPr>
        <w:t xml:space="preserve"> 02/06/2026, Jonathan Alves (independente) — 16/16 itens conformes, 0 NCs.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Abraão Oliveira (GP) · Cezar Hiraki Velazquez (Tech Lead/Arquiteto) · Raony Chagas (Dev Sênior) · Allan Alves (Dev) · Caroline Sousa (QA) · Lucas Batista (DevOps). Patrocinador: Marcos Correa Fernandez Turnes (AASP).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Registros produzidos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Legenda:</w:t>
      </w:r>
      <w:r>
        <w:rPr>
          <w:rFonts w:ascii="Calibri" w:hAnsi="Calibri"/>
          <w:b w:val="0"/>
          <w:i w:val="0"/>
          <w:sz w:val="22"/>
        </w:rPr>
        <w:t xml:space="preserve"> ✅ gerado (15/06/2026).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Bloco-fonte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1, 2, 3, 8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5, 8, 2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(RAG-4D)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10.2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Aceite e Encerramento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(7 lições)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(11 RF + 6 RNF)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(RF×CT×CA)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3, 9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6, 7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6, 9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(12 CT)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(12 CT, 5 bugs)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por Pares (23 PRs)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(6 IC, 3 baselines)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 (D01–D07)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(M1–M7)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2, 4.2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 (16 itens)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 (14/04)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de APIs (23/04)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Validação da Homologação (29/05)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9.2, 10.1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e Encerramento (02/06)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GEST-AASPGOV01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.xlsx</w:t>
            </w:r>
            <w:r>
              <w:rPr>
                <w:rFonts w:ascii="Calibri" w:hAnsi="Calibri"/>
                <w:b w:val="0"/>
                <w:i w:val="0"/>
                <w:sz w:val="20"/>
              </w:rPr>
              <w:t>, 9 abas)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5, 6, 9, 12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Os itens 1–23 correspondem aos </w:t>
      </w:r>
      <w:r>
        <w:rPr>
          <w:rFonts w:ascii="Calibri" w:hAnsi="Calibri"/>
          <w:b/>
          <w:i w:val="0"/>
          <w:color w:val="1A5276"/>
          <w:sz w:val="22"/>
        </w:rPr>
        <w:t>23 produtos de trabalho</w:t>
      </w:r>
      <w:r>
        <w:rPr>
          <w:rFonts w:ascii="Calibri" w:hAnsi="Calibri"/>
          <w:b w:val="0"/>
          <w:i w:val="0"/>
          <w:color w:val="1A5276"/>
          <w:sz w:val="22"/>
        </w:rPr>
        <w:t xml:space="preserve"> verificados na auditoria de GQA (GQA-AASPGOV01-001). Este índice (item de controle) não é contado como produto auditável.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Cobertura de processos MPS-SW Nível 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Registro(s)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Gerência de Projetos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TAP, ADAP, PLA, RAC, LI, TAE, GEST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— Engenharia de 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REQ, RASTR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— Projeto e Construção do 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(seção "OSW/arquitetura" do intake reclassificada como PCP)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— Integração do 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REL-VV, REV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— Gerência de Processos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— Medição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— Gerência de Decisões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— Gerência de Configuração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— Capacitação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 — Governança Organizacional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ATA-001 a ATA-004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— Aquisição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Não aplicável (sem subcontratação; padrão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MAPA-ORG-001</w:t>
            </w:r>
            <w:r>
              <w:rPr>
                <w:rFonts w:ascii="Calibri" w:hAnsi="Calibri"/>
                <w:b w:val="0"/>
                <w:i w:val="0"/>
                <w:sz w:val="20"/>
              </w:rPr>
              <w:t>). Dependências de terceiros tratadas em ITP/PCP e nota no ADAP §4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Change Request (CR):</w:t>
      </w:r>
      <w:r>
        <w:rPr>
          <w:rFonts w:ascii="Calibri" w:hAnsi="Calibri"/>
          <w:b w:val="0"/>
          <w:i w:val="0"/>
          <w:sz w:val="22"/>
        </w:rPr>
        <w:t xml:space="preserve"> não se aplica — escopo fixo desde o TAP; apenas correções de defeitos na homologação (BUG-01 a BUG-05), sem mudança de escopo.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PRs e commits:</w:t>
      </w:r>
      <w:r>
        <w:rPr>
          <w:rFonts w:ascii="Calibri" w:hAnsi="Calibri"/>
          <w:b w:val="0"/>
          <w:i w:val="0"/>
          <w:sz w:val="22"/>
        </w:rPr>
        <w:t xml:space="preserve"> os Pull Requests de tudo que foi entregue estão registrados em REV-AASPGOV01-001 (23 PRs, por branch/item/autor/revisor/sprint/baseline). Os identificadores internos e os commits residem no Azure DevOps (consultáveis pela ASR).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 com conversão para Word (</w:t>
      </w:r>
      <w:r>
        <w:rPr>
          <w:rFonts w:ascii="Courier New" w:hAnsi="Courier New"/>
          <w:b w:val="0"/>
          <w:i w:val="0"/>
          <w:color w:val="333333"/>
          <w:sz w:val="20"/>
        </w:rPr>
        <w:t>.docx</w:t>
      </w:r>
      <w:r>
        <w:rPr>
          <w:rFonts w:ascii="Calibri" w:hAnsi="Calibri"/>
          <w:b w:val="0"/>
          <w:i w:val="0"/>
          <w:sz w:val="22"/>
        </w:rPr>
        <w:t xml:space="preserve">) no padrão Timeware; a planilha de gestão em </w:t>
      </w:r>
      <w:r>
        <w:rPr>
          <w:rFonts w:ascii="Courier New" w:hAnsi="Courier New"/>
          <w:b w:val="0"/>
          <w:i w:val="0"/>
          <w:color w:val="333333"/>
          <w:sz w:val="20"/>
        </w:rPr>
        <w:t>.xlsx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Criação do índice-mestre e geração dos 23 registros do projeto AASPGOV01 a partir do INTAKE-AASPGOV01 (14/06/2026),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.md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.docx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a planilha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.xlsx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INDICE-AASPGOV01-001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