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ADAP-AASPGOV01-001   ·   Versão 1.0   ·   14/04/2026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MR-MPS-SW:2024 — Nível C · PRO-GPC-001 · GUIA-GPC-001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Justificativa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pequeno porte (~7 semanas, 49 dias corridos), equipe com comunicação direta e escopo fixo desde o início. As adaptações simplificam práticas do processo-padrão sem comprometer a rastreabilidade ou a qualidade das entregas.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Planejamento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Consolidado em documento único (RDP-AASPGOV01-001), sem Plano de Projeto separado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Curta duração e escopo fixo; o overhead de documento separado não agrega valor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Ciclos iterativos retroativos (S0–S3) em vez de sprints formais com cerimônias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 comunicação direta; sprints adotados retroativamente para rastreabilidade de esforço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—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Validados internamente com o cliente, sem documento de levantamento formal separado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definido em reunião de abertura (ATA-AASPGOV01-001) e estabilizado antes do desenvolvimento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executados nos ambientes reais do Sensr e do Jira, sem ambiente de testes dedicado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comportamento crítico depende da compatibilidade real entre plataformas; mocks não seriam representativos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— Garantia da 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única ao encerramento, cobrindo todo o projeto retroativamente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curta duração com entregável único; auditorias intermediárias não foram necessárias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—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(M1–M7) apurados ao encerramento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contínua não aplicável a projeto sem sprints formais; indicadores apurados sobre o ciclo completo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Processos mantidos integralmente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/ PCP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e decisões técnicas documentadas integralmente, incluindo todas as decisões relevantes (D01–D07); design em camadas avaliado formalmente por Cezar Hiraki em 16/04/2026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integrações documentadas com contratos de API, critérios de prontidão e estratégia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 via Azure DevOps com GitFlow aplicado integralmente; 3 baselines estabelecidas (BL-DEV/HOM/PROD)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decisões relevantes registradas com alternativas, justificativa e impacto (GDE-AASPGOV01-001)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Transferência de conhecimento documentada (Allan Alves na Fase 2; Caroline Sousa na Fase 4)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Aquisição (AQU)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há subcontratação de desenvolvimento. As dependências de terceiros (.NET 8 LTS, API Jira v3, API Sensr) são insumos de serviço/biblioteca, identificadas e justificadas no escopo técnico (ver ITP-AASPGOV01-001 e PCP-AASPGOV01-001). Conforme o padrão organizacional (MAPA-ORG-001), AQU é não aplicável a este projeto e não gera registro próprio.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(REQ-AASPGOV01-001)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pelo cliente (baseline) — autorizado no TAP-AASPGOV01-001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VV-AASPGOV01-001)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REL-VV-AASPGOV01-001)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Encerramento formal com aceite (TAE-AASPGOV01-001, aceite em 02/06/2026)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Observação de auditoria (incorporada via L07): a adoção de </w:t>
      </w:r>
      <w:r>
        <w:rPr>
          <w:rFonts w:ascii="Calibri" w:hAnsi="Calibri"/>
          <w:b/>
          <w:i w:val="0"/>
          <w:color w:val="1A5276"/>
          <w:sz w:val="22"/>
        </w:rPr>
        <w:t>sprints retroativos (S0–S3)</w:t>
      </w:r>
      <w:r>
        <w:rPr>
          <w:rFonts w:ascii="Calibri" w:hAnsi="Calibri"/>
          <w:b w:val="0"/>
          <w:i w:val="0"/>
          <w:color w:val="1A5276"/>
          <w:sz w:val="22"/>
        </w:rPr>
        <w:t xml:space="preserve"> é uma adaptação formal deste projeto, documentada nesta seção 2 para rastreabilidade de esforço sem cerimônias formais.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INTAKE-AASPGOV01 (14/06/2026) e do RDP-AASPGOV01-001 v3.0.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