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KICKOFF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ATA-AASPGOV01-001   ·   14/04/2026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apresentação do TAP, escopo e arquitetura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/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Termo de Abertura (TAP-AASPGOV01-001), escopo e objetivos.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arquitetura proposta.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Autorização para o início da Fase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Apresentado o contexto da migração gradual do Sensr para o Jira e a necessidade de um serviço automatizado de migração e sincronização. Escopo confirmado como </w:t>
      </w:r>
      <w:r>
        <w:rPr>
          <w:rFonts w:ascii="Calibri" w:hAnsi="Calibri"/>
          <w:b/>
          <w:i w:val="0"/>
          <w:sz w:val="22"/>
        </w:rPr>
        <w:t>unidirecional (Sensr → Jira)</w:t>
      </w:r>
      <w:r>
        <w:rPr>
          <w:rFonts w:ascii="Calibri" w:hAnsi="Calibri"/>
          <w:b w:val="0"/>
          <w:i w:val="0"/>
          <w:sz w:val="22"/>
        </w:rPr>
        <w:t>, com sincronização incremental limitada a status. Apresentada e aprovada a arquitetura em camadas (Core, Infrastructure, App).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TAP pelo 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para a Fase 1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em camadas (D01)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arquitetura em camadas e modelo de configuração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mapeamento das APIs Sensr e Jira (Fase 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 reconstituída a partir do INTAKE-AASPGOV01 (14/06/2026), Bloco 10.1.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ATA-AASPGOV01-001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