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ALINHAMENTO DE APIS E AUTENTICAÇÃO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ATA-AASPGOV01-002   ·   23/04/2026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Alinhamento: mapeamento das APIs Sensr e Jira, autenticação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 do mapeamento dos endpoints das APIs Sensr e Jira.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Definições de autenticação e de formato de dados.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Autorização para a Fase 3 (Desenvolvimento dos Serviços).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Apresentado o mapeamento dos contratos (Swagger/OpenAPI, IC-04/IC-05). Confirmado que a API Jira v3 exige ADF para texto rico e não oferece busca por referência externa, o que orientou as decisões de design. Autenticação no Sensr definida como JWT por desenvolvedor.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Adotar ADF para texto rico no Jira (D02)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Idempotência por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(D03)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Runtime como Azure Scheduled Job (D04)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para a Fase 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(Decisões detalhadas em GDE-AASPGOV01-001.)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Desenvolver serviços de migração (Epics, Tasks, Subtasks)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 / 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Implementar HtmlHelper (HTML→ADF) e StatusMapper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alinhamento reconstituída a partir do INTAKE-AASPGOV01 (14/06/2026), Bloco 10.1.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23/04/2026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23/04/2026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ATA-AASPGOV01-002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