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ACEITE E ENCERRAMENTO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ATA-AASPGOV01-004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e encerramento formal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da versão de produção (BL-PROD-001, v1.0.0).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formal da entrega.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Encerramento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Confirmada a entrega da versão de produção (v1.0.0) com os critérios de aceite CA01–CA07 aprovados (ATA-AASPGOV01-003) e os 5 defeitos corrigidos. O Patrocinador concedeu o </w:t>
      </w:r>
      <w:r>
        <w:rPr>
          <w:rFonts w:ascii="Calibri" w:hAnsi="Calibri"/>
          <w:b/>
          <w:i w:val="0"/>
          <w:sz w:val="22"/>
        </w:rPr>
        <w:t>aceite formal</w:t>
      </w:r>
      <w:r>
        <w:rPr>
          <w:rFonts w:ascii="Calibri" w:hAnsi="Calibri"/>
          <w:b w:val="0"/>
          <w:i w:val="0"/>
          <w:sz w:val="22"/>
        </w:rPr>
        <w:t xml:space="preserve"> da entrega. Não há defeitos em produção nem pendências de escopo.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da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do Termo de Encerramento (TAE-AASPGOV01-001)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/ 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Auditoria de GQA ao encerramento (GQA-AASPGOV01-001) e registro das lições aprendidas (LI-AASPGOV01-001).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e encerramento reconstituída a partir do INTAKE-AASPGOV01 (14/06/2026), Bloco 13.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ATA-AASPGOV01-004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