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GCO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(com o Gerente de Projeto, Abraão Oliveira)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 · PLA-GCO-001 · GUIA-GCO-001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Ambiente e plataforma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LTS (C#) — estrutura em camadas Core, Infrastructure, App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e controle de 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GitFlow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Pipelines — build automático em push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Runtime de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Scheduled Job (execução agendada, não supervisionada)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(local) · Homologação (Azure Scheduler staging) · Produção (Azure Scheduler prod)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(RNF06) — sem hardcode de credenciais no código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Itens de configuração (IC)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configuração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completo da solução (.NET 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Software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appsettings.json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(DeveloperConfig, ProjectConfig, Azure)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azure-pipelines.yml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de CI/CD do 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API Sensr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Swagger/OpenAPI — endpoints de autenticação e atividades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API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OpenAPI v3 — Issues, Transitions, Epics, Subtasks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GEST-AASPGOV01.xlsx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(9 abas)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Controle de versão e branches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GitFlow no Azure DevOps. Merge de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exige no mínimo 1 revisor além do autor e build de CI verde (ver REV-AASPGOV01-001). Releases promovidas de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com tag de baseline.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Baseline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Tag Git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BL-DEV-001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v0.9.0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— entrou em homologação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BL-HOM-001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v1.0.0-rc.1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Release candidate validado pelo Sponsor (ATA-AASPGOV01-003)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BL-PROD-001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produção — aceite formal em TAE-AASPGOV01-001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Escopo fixo desde o TAP-AASPGOV01-001; qualquer adição exigiria Change Request formal com aprovação do Patrocinador (R03). </w:t>
      </w:r>
      <w:r>
        <w:rPr>
          <w:rFonts w:ascii="Calibri" w:hAnsi="Calibri"/>
          <w:b/>
          <w:i w:val="0"/>
          <w:sz w:val="22"/>
        </w:rPr>
        <w:t>Não houve mudanças de escopo</w:t>
      </w:r>
      <w:r>
        <w:rPr>
          <w:rFonts w:ascii="Calibri" w:hAnsi="Calibri"/>
          <w:b w:val="0"/>
          <w:i w:val="0"/>
          <w:sz w:val="22"/>
        </w:rPr>
        <w:t xml:space="preserve"> — apenas correções de defeitos na homologação (BUG-01 a BUG-05), integradas via Pull Request (PR-16 a PR-20). A promoção entre ambientes segue o pipeline de CI/CD com tag de baseline.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(IC-01 a IC-06)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Código, configuração, contratos de API e planilha de gestão versionados/controlados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estabelecidas nos marcos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BL-DEV-001, BL-HOM-001, BL-PROD-001 com tags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v0.9.0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v1.0.0-rc.1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v1.0.0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não expostas em código/logs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Key Vault (RNF06)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mínimo 1 revisor além do autor (REV-AASPGOV01-001)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íntegros e consistentes com os documentos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Verificado na auditoria de GQA (GQA-AASPGOV01-001, itens GCO-1/2/3)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INTAKE-AASPGOV01 (14/06/2026), Bloco 6.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GCO-AASPGOV01-001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