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ANÁLISE DE DECISÃO (RAD) — AASP_AUTOMACAO-GOVERNANCA · SENSRJIRASYNC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GDE-AASPGOV01-001   ·   Versão 1.0   ·   15/06/2026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GDE-AASPGOV01-001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 / contexto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AASP_Automacao-Governanca — SensrJiraSync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pelas decisões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Velazquez (Tech Lead / Arquiteto), com o time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 (evidência de projeto) · PRO-GDE-001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as decisões arquiteturais e de design relevantes do projeto, com alternativas consideradas, escolha e justificativa, conforme PRO-GDE-001. As decisões foram tomadas na Fase 1 e início da Fase 3, e o design foi avaliado formalmente por Cezar Hiraki em 16/04/2026 (ver PCP-AASPGOV01-001).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Decisões registradas (D01–D07)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/ Alternativas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Escolha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Arquitetura: monolito flat vs. clean architecture em 3 camadas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Clean architecture (Core, Infrastructure, App)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Separação de responsabilidades, testabilidade e manutenibilidade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Texto rico no Jira: HTML bruto vs. texto plano vs. ADF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ADF (Atlassian Document Format)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 mandatório da API Jira v3; HTML bruto é rejeitado pela API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Idempotência: busca por ID externo vs. prefixo de texto no summary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Prefixo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#ID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no summary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API Jira v3 não oferece busca por referência externa; o prefixo é confiável e inspecionável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Runtime: AWS Lambda vs. Azure Functions vs. App Service vs. Azure Scheduler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Scheduled Job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com a infraestrutura existente da AASP; menor overhead operacional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Autenticação Sensr: API key única vs. token compartilhado vs. JWT por desenvolvedor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JWT por desenvolvedor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de atividades por responsável; isolamento de falha de credencial (CT-09)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Paginação Jira: offset paginado vs. cursor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nextPageToken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Cursor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nextPageToken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Compatibilidade com a API Jira v3; única opção suportada para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GetIssuesByEpicAsync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StatusMapper: switch inline vs. dicionário vs. classe isolada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Classe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StatusMapper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isolada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Extensibilidade para novos mapeamentos sem alterar o fluxo principal; testável de forma independente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Análise detalhada — Runtime de execução (D04)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Conteúdo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Problema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Definir a plataforma de execução do serviço agendado de sincronização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Gatilho (PRO-GDE-001)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Escolha de tecnologia/infraestrutura de alto impacto operacional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Alternativas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(A) AWS Lambda; (B) Azure Functions; (C) Azure App Service; (D) Azure Scheduled Job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Critérios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com a infraestrutura da AASP, overhead operacional, adequação a execução agendada/não supervisionada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Escolha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(D) Azure Scheduled Job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Justificativa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Alinha-se à infraestrutura Azure já adotada pela AASP, com menor overhead operacional e modelo natural de execução agendada stateless (idempotência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#ID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dispensa estado entre execuções)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Riscos / premissa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Disponibilidade do Azure Scheduler (premissa do projeto); execução stateless mitiga reprocessamento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Decisão de design avaliada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conjunto de decisões D01–D07 foi consolidado no design avaliado formalmente por Cezar Hiraki Velazquez em </w:t>
      </w:r>
      <w:r>
        <w:rPr>
          <w:rFonts w:ascii="Calibri" w:hAnsi="Calibri"/>
          <w:b/>
          <w:i w:val="0"/>
          <w:sz w:val="22"/>
        </w:rPr>
        <w:t>16/04/2026</w:t>
      </w:r>
      <w:r>
        <w:rPr>
          <w:rFonts w:ascii="Calibri" w:hAnsi="Calibri"/>
          <w:b w:val="0"/>
          <w:i w:val="0"/>
          <w:sz w:val="22"/>
        </w:rPr>
        <w:t xml:space="preserve"> e ratificado nas atas de alinhamento (D01 em ATA-AASPGOV01-001; D02, D03, D04 em ATA-AASPGOV01-002).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decisões (D01–D07) consolidado a partir do INTAKE-AASPGOV01 (14/06/2026), Bloco 7.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GDE-AASPGOV01-001</w:t>
    </w:r>
    <w:r>
      <w:tab/>
    </w:r>
    <w:r>
      <w:rPr>
        <w:rFonts w:ascii="Calibri" w:hAnsi="Calibri"/>
        <w:color w:val="555555"/>
        <w:sz w:val="18"/>
      </w:rPr>
      <w:t>Gerência de Decisões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