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ITP-AASPGOV01-001   ·   Versão 1.0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 (ITP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(serviço)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Orquestra leitura no Sensr, transformação e gravação no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Sensr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dos dados — autenticação, atividades, sub-atividades e histórico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Jira v3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Destino — Epics, Tasks, Subtasks, transições e comentários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e execução periódica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Provê as credenciais em tempo de execução (sem hardcode)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e leitura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↔ API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REST; JWT por 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Gravação e sincronização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↔ API Jira v3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REST; Basic Auth (e-mail + API Token); texto rico em ADF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 ↔ Azure Key Vault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Managed Identity; sem secrets em código (RNF06)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 ↔ Executável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isolado; execução não supervisionada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 (ITP 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Integração entregue de forma incremental pelos sprints: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S0–S1 — Autenticação e leitura:</w:t>
      </w:r>
      <w:r>
        <w:rPr>
          <w:rFonts w:ascii="Calibri" w:hAnsi="Calibri"/>
          <w:b w:val="0"/>
          <w:i w:val="0"/>
          <w:sz w:val="22"/>
        </w:rPr>
        <w:t xml:space="preserve"> contratos das APIs Sensr e Jira mapeados (Swagger/OpenAPI, IC-04/IC-05); fluxos de autenticação implementados (JWT no Sensr; Basic Auth no Jira).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S1–S2 — Migração e transformação:</w:t>
      </w:r>
      <w:r>
        <w:rPr>
          <w:rFonts w:ascii="Calibri" w:hAnsi="Calibri"/>
          <w:b w:val="0"/>
          <w:i w:val="0"/>
          <w:sz w:val="22"/>
        </w:rPr>
        <w:t xml:space="preserve"> Epics/Tasks/Subtasks, conversão HTML→ADF, StatusMapper, histórico como comentários, idempotência por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S2–S3 — Sincronização e robustez:</w:t>
      </w:r>
      <w:r>
        <w:rPr>
          <w:rFonts w:ascii="Calibri" w:hAnsi="Calibri"/>
          <w:b w:val="0"/>
          <w:i w:val="0"/>
          <w:sz w:val="22"/>
        </w:rPr>
        <w:t xml:space="preserve"> atualização incremental de status, paginação </w:t>
      </w:r>
      <w:r>
        <w:rPr>
          <w:rFonts w:ascii="Courier New" w:hAnsi="Courier New"/>
          <w:b w:val="0"/>
          <w:i w:val="0"/>
          <w:color w:val="333333"/>
          <w:sz w:val="20"/>
        </w:rPr>
        <w:t>nextPageToken</w:t>
      </w:r>
      <w:r>
        <w:rPr>
          <w:rFonts w:ascii="Calibri" w:hAnsi="Calibri"/>
          <w:b w:val="0"/>
          <w:i w:val="0"/>
          <w:sz w:val="22"/>
        </w:rPr>
        <w:t>, isolamento de falha por desenvolvedor.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 (ITP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 (.NET 8 LTS)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 staging — testes nos ambientes reais do Sensr e do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 prod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CI/CD via </w:t>
      </w:r>
      <w:r>
        <w:rPr>
          <w:rFonts w:ascii="Calibri" w:hAnsi="Calibri"/>
          <w:b/>
          <w:i w:val="0"/>
          <w:sz w:val="22"/>
        </w:rPr>
        <w:t>Azure Pipelines</w:t>
      </w:r>
      <w:r>
        <w:rPr>
          <w:rFonts w:ascii="Calibri" w:hAnsi="Calibri"/>
          <w:b w:val="0"/>
          <w:i w:val="0"/>
          <w:sz w:val="22"/>
        </w:rPr>
        <w:t xml:space="preserve"> (build automático em push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); pipeline versionado como IC-03 (</w:t>
      </w:r>
      <w:r>
        <w:rPr>
          <w:rFonts w:ascii="Courier New" w:hAnsi="Courier New"/>
          <w:b w:val="0"/>
          <w:i w:val="0"/>
          <w:color w:val="333333"/>
          <w:sz w:val="20"/>
        </w:rPr>
        <w:t>azure-pipelines.yml</w:t>
      </w:r>
      <w:r>
        <w:rPr>
          <w:rFonts w:ascii="Calibri" w:hAnsi="Calibri"/>
          <w:b w:val="0"/>
          <w:i w:val="0"/>
          <w:sz w:val="22"/>
        </w:rPr>
        <w:t>). Ver GCO-AASPGOV01-001.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 (ITP 3)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Code review aprovado (mínimo 1 revisor além do autor) antes do merge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(ver REV-AASPGOV01-001).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Build de CI verde no Azure Pipelines.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Tratamento de erro por desenvolvedor implementado (isolamento, CT-09).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Verificação de existência por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antes de qualquer criação (idempotência, CT-02).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 (ITP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fluxo integrado (autenticação → leitura → transformação → criação/atualização no Jira) foi validado por testes de integração nos ambientes reais do Sensr e do Jira em homologação, cobrindo os 12 cenários (CT-01 a CT-12). Detalhes em VV-AASPGOV01-001 e REL-VV-AASPGOV01-001.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implantação (ITP 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Entrega via baselines no Azure DevOps: BL-DEV-001 (v0.9.0, 20/05) → BL-HOM-001 (v1.0.0-rc.1, 29/05, validado pelo Sponsor em ATA-003) → BL-PROD-001 (v1.0.0, 02/06, aceite formal em TAE-AASPGOV01-001). Material de apoio: contratos de API (Swagger/OpenAPI) versionados como IC-04 e IC-05.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consolidada a partir do INTAKE-AASPGOV01 (14/06/2026), Blocos 6 e 9.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ITP-AASPGOV01-001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