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LIÇÕES APRENDIDAS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LI-AASPGOV01-001   ·   Versão 1.0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(Gerente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lições aprendidas do projeto e as ações de melhoria associadas, para reaproveitamento em projetos futuros de integração com APIs de terceiros. As lições alimentam o repositório organizacional de medidas (REG-MED-001) e as oportunidades de melhoria de processo (GPC 4).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Lições aprendidas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 aprendida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de melhoria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externas com formatos proprietários (ADF/Atlassian) exigem mais tempo de mapeamento do que APIs REST convencionais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Estimar +30% de esforço para fases de mapeamento de APIs com formatos proprietários (AC-01)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HTML e sanitização de campos devem ser testados desde as primeiras fases, não apenas na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cenário Gherkin obrigatório para HTML e labels desde o planejamento de V&amp;V (AC-02)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Contratos de API documentados no kickoff evitam surpresas e retrabalho em fases posteriores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Exigir Swagger/OpenAPI dos sistemas externos como entregável do cliente antes do início da Fase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por desenvolvedor precisam de validação isolada antes do início do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checklist de validação de credenciais por desenvolvedor na ata de kickoff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GitFlow em projetos de 7 semanas pode ser simplificado sem comprometer o controle de versão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Avaliar GitFlow simplificado (apenas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feature/*</w:t>
            </w:r>
            <w:r>
              <w:rPr>
                <w:rFonts w:ascii="Calibri" w:hAnsi="Calibri"/>
                <w:b w:val="0"/>
                <w:i w:val="0"/>
                <w:sz w:val="20"/>
              </w:rPr>
              <w:t>) para projetos com duração inferior a 8 semanas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ambiente de homologação precisa espelhar exatamente o de produção para testes realistas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no GCO os parâmetros de configuração de cada ambiente como IC próprio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modelo de sprints retroativos é válido para rastreabilidade de esforço, mas precisa estar explícito no ADAP para evitar questionamentos na auditoria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Documentar explicitamente a adoção de sprints retroativos como adaptação formal no ADAP desde o início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Oportunidades de melhoria de processo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ações AC-01 e AC-02 foram incorporadas aos ativos organizacionais (PLA-GPR-001 e TPL-VV-001, respectivamente — ver MED-AASPGOV01-001 §6). A oportunidade de antecipar verificações intermediárias de GQA em projetos com mais de 8 semanas (OM-01, GQA-AASPGOV01-001) também foi registrada.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consolidadas a partir do INTAKE-AASPGOV01 (14/06/2026), Bloco 13.1.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LI-AASPGOV01-001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