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PCP-AASPGOV01-001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(Tech Lead / Arquiteto) · Raony Chagas (Desenvolvedor Sênior)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Design avaliado 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16/04/2026 — Cezar Hiraki Velazquez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SensrJiraSync</w:t>
      </w:r>
      <w:r>
        <w:rPr>
          <w:rFonts w:ascii="Calibri" w:hAnsi="Calibri"/>
          <w:b w:val="0"/>
          <w:i w:val="0"/>
          <w:sz w:val="22"/>
        </w:rPr>
        <w:t xml:space="preserve"> é um serviço de sincronização unidirecional (Sensr → Jira) em .NET 8 LTS, executado como </w:t>
      </w:r>
      <w:r>
        <w:rPr>
          <w:rFonts w:ascii="Calibri" w:hAnsi="Calibri"/>
          <w:b/>
          <w:i w:val="0"/>
          <w:sz w:val="22"/>
        </w:rPr>
        <w:t>Azure Scheduled Job</w:t>
      </w:r>
      <w:r>
        <w:rPr>
          <w:rFonts w:ascii="Calibri" w:hAnsi="Calibri"/>
          <w:b w:val="0"/>
          <w:i w:val="0"/>
          <w:sz w:val="22"/>
        </w:rPr>
        <w:t>. A cada execução, migra e sincroniza as atividades de todos os desenvolvedores configurados. O design atende aos requisitos de idempotência (RNF02), disponibilidade (RNF03), rastreabilidade (RNF04), manutenibilidade (RNF05) e segurança de credenciais (RNF06).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Arquitetura (clean architecture em camadas) — decisão D01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 principais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SensrJiraSync.Core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Contratos, modelos de domínio e mapeadores; sem dependências externas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AppSettings, DeveloperConfig, ProjectConfig, SensrModels, JiraModels, StatusMapper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SensrJiraSync.Infrastructure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Serviços de integração e helpers de transformação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SensrService, JiraService, SyncService, HtmlHelper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SensrJiraSync.App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entrada, configuração (Azure Key Vault) e composição via DI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Program.cs, appsettings.json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Dependências unidirecionais: </w:t>
      </w:r>
      <w:r>
        <w:rPr>
          <w:rFonts w:ascii="Courier New" w:hAnsi="Courier New"/>
          <w:b w:val="0"/>
          <w:i w:val="0"/>
          <w:color w:val="333333"/>
          <w:sz w:val="20"/>
        </w:rPr>
        <w:t>App → Infrastructure → Core</w:t>
      </w:r>
      <w:r>
        <w:rPr>
          <w:rFonts w:ascii="Calibri" w:hAnsi="Calibri"/>
          <w:b w:val="0"/>
          <w:i w:val="0"/>
          <w:sz w:val="22"/>
        </w:rPr>
        <w:t>. Separação de responsabilidades, testabilidade e manutenibilidade (D01).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Fluxo de sincronização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Para cada desenvolvedor configurado: autenticação no Sensr via JWT individual (D05).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Para cada projeto: busca das atividades do desenvolvedor via API Sensr.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Resolve ou cria o Epic correspondente no Jira pelo nome do projeto.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Indexa as Tasks existentes sob o Epic pelo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 (D03), com paginação via </w:t>
      </w:r>
      <w:r>
        <w:rPr>
          <w:rFonts w:ascii="Courier New" w:hAnsi="Courier New"/>
          <w:b w:val="0"/>
          <w:i w:val="0"/>
          <w:color w:val="333333"/>
          <w:sz w:val="20"/>
        </w:rPr>
        <w:t>nextPageToken</w:t>
      </w:r>
      <w:r>
        <w:rPr>
          <w:rFonts w:ascii="Calibri" w:hAnsi="Calibri"/>
          <w:b w:val="0"/>
          <w:i w:val="0"/>
          <w:sz w:val="22"/>
        </w:rPr>
        <w:t xml:space="preserve"> (D06).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Para cada atividade: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Se 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não existe</w:t>
      </w:r>
      <w:r>
        <w:rPr>
          <w:rFonts w:ascii="Calibri" w:hAnsi="Calibri"/>
          <w:b w:val="0"/>
          <w:i w:val="0"/>
          <w:sz w:val="22"/>
        </w:rPr>
        <w:t xml:space="preserve"> → cria Task completa (descrição em ADF, labels, status, histórico como comentários, subtasks).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Se </w:t>
      </w:r>
      <w:r>
        <w:rPr>
          <w:rFonts w:ascii="Calibri" w:hAnsi="Calibri"/>
          <w:b/>
          <w:i w:val="0"/>
          <w:sz w:val="22"/>
        </w:rPr>
        <w:t>já existe</w:t>
      </w:r>
      <w:r>
        <w:rPr>
          <w:rFonts w:ascii="Calibri" w:hAnsi="Calibri"/>
          <w:b w:val="0"/>
          <w:i w:val="0"/>
          <w:sz w:val="22"/>
        </w:rPr>
        <w:t xml:space="preserve"> → verifica divergência de status e aplica a transição se necessário (sincronização incremental).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Mapeamento de entidades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Entidade Sensr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Entidade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Epic por projeto, reutilizado em execuções subsequentes via busca por nome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Task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Summary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 Nome</w:t>
            </w:r>
            <w:r>
              <w:rPr>
                <w:rFonts w:ascii="Calibri" w:hAnsi="Calibri"/>
                <w:b w:val="0"/>
                <w:i w:val="0"/>
                <w:sz w:val="20"/>
              </w:rPr>
              <w:t>; descrição convertida de HTML para ADF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Sub-atividade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Subtask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Vinculada à Task pai (RF05)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description_history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Comentários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 entrada do histórico convertida e adicionada como comentário individual (RF09)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Normalizadas/sanitizadas para o formato aceito pelo Jira (CT-08, CT-12)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Sensr →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Transição de 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TODO→To Do, DOING→In Progress, VALIDATION→To Test, STOPPED→Blocked, DONE→Done (StatusMapper, D07)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Decisões de design (resumo)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da solução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Clean architecture em 3 camadas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 (D01)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Texto rico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ADF (Atlassian Document Format)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 (D02)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Idempotência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 (D03)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Runtime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Scheduled Job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 (D04)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Sensr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por desenvolvedor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 (D05)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Paginação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Cursor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 (D06)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StatusMapper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Classe isolada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 (D07)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Serviço de retaguarda (Azure Scheduled Job), sem interface de usuário.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SensrService — login JWT por desenvolvedor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RF02, RF03, RF04, RF05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 — Epic, Task, Subtask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SyncService — atualização incremental de status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HtmlHelper + ADF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StatusMapper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JiraService — comentários a partir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description_history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Indexação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antes de criar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Paginação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GetIssuesByEpicAsync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Camadas Core / Infrastructure / App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 na camada App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RASTR-AASPGOV01-001.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Avaliação do design (PCP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Design em camadas avaliado formalmente por </w:t>
      </w:r>
      <w:r>
        <w:rPr>
          <w:rFonts w:ascii="Calibri" w:hAnsi="Calibri"/>
          <w:b/>
          <w:i w:val="0"/>
          <w:sz w:val="22"/>
        </w:rPr>
        <w:t>Cezar Hiraki Velazquez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16/04/2026</w:t>
      </w:r>
      <w:r>
        <w:rPr>
          <w:rFonts w:ascii="Calibri" w:hAnsi="Calibri"/>
          <w:b w:val="0"/>
          <w:i w:val="0"/>
          <w:sz w:val="22"/>
        </w:rPr>
        <w:t xml:space="preserve"> (fim da Fase 1), antes do início da construção. A separação Core/Infrastructure/App e a estratégia de idempotência por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foram aprovadas como base para o desenvolvimento. Problemas de integração identificados posteriormente (HTML/ADF, status, labels, paginação) foram tratados como defeitos na homologação (BUG-01 a BUG-05, ver REL-VV-AASPGOV01-001).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INTAKE-AASPGOV01 (14/06/2026), Blocos 6 e 7.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PCP-AASPGOV01-001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