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PLA-AASPGOV01-001   ·   Versão 1.0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Desenvolver o serviço </w:t>
      </w:r>
      <w:r>
        <w:rPr>
          <w:rFonts w:ascii="Calibri" w:hAnsi="Calibri"/>
          <w:b/>
          <w:i w:val="0"/>
          <w:sz w:val="22"/>
        </w:rPr>
        <w:t>SensrJiraSync</w:t>
      </w:r>
      <w:r>
        <w:rPr>
          <w:rFonts w:ascii="Calibri" w:hAnsi="Calibri"/>
          <w:b w:val="0"/>
          <w:i w:val="0"/>
          <w:sz w:val="22"/>
        </w:rPr>
        <w:t xml:space="preserve"> (.NET 8 LTS, Azure Scheduled Job) que migra cards do Sensr para o Jira e mantém a sincronização incremental de status durante a transição gradual da AASP. Ver REQ-AASPGOV01-001 para os requisitos detalhados.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autenticação multi-desenvolvedor (Sensr/Jira); migração de Epics, Tasks e Subtasks com preservação de metadados; conversão HTML→ADF; sincronização incremental de status; histórico como comentários; idempotência por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>; execução agendada via Azure Scheduler.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sincronização bidirecional; atualização de cards já migrados além do status.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Processo-padrão (PRO-GPC-001) adaptado conforme GUIA-GPC-001. Registro completo em ADAP-AASPGOV01-001. Destaques: planejamento consolidado em documento único; sprints retroativos (S0–S3) para rastreabilidade de esforço; medição apurada ao encerramento.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(GPR 3, 4)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Esforço por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Est. (h)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Real. (h)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principal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Arquitetura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16/04/2026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Mapeamento e Autenticação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 – 23/04/2026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Allan Alves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 dos Serviços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24/04 – 20/05/2026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+6,7%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Allan Alves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Homologação e Correções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21/05 – 02/06/2026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Caroline Sousa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236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+9,3%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Modelo de sprints retroativos (S0–S3)</w:t>
      </w:r>
      <w:r>
        <w:rPr>
          <w:rFonts w:ascii="Calibri" w:hAnsi="Calibri"/>
          <w:b w:val="0"/>
          <w:i w:val="0"/>
          <w:sz w:val="22"/>
        </w:rPr>
        <w:t xml:space="preserve"> — backlog de 17 itens (11 RF + 6 RNF), 59 SP. Detalhamento em GEST-AASPGOV01 (abas Backlog e Acompanhamento).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Points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Velocity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Arquitetura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 SP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16/04/2026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 SP/sprint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Mapeamento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 SP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 – 23/04/2026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 SP/sprint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 SP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24/04 – 08/05/2026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 SP/sprint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3+4 — Conclusão e HOM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 SP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09/05 – 02/06/2026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 SP/sprint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 sprints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59 SP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~15 SP/sprint (média)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 marcos (GPR 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mapeamento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desenvolvimento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da homologação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/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Membro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 as fases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técnicas e aprovação de design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 as fases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partir da Fase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de Testes (QA)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21/05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homologação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Infraestrutura / DevOps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CI/CD e pipelines Azure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e ferramentas:</w:t>
      </w:r>
      <w:r>
        <w:rPr>
          <w:rFonts w:ascii="Calibri" w:hAnsi="Calibri"/>
          <w:b w:val="0"/>
          <w:i w:val="0"/>
          <w:sz w:val="22"/>
        </w:rPr>
        <w:t xml:space="preserve"> .NET 8 LTS (C#); Azure DevOps (Git + Pipelines, GitFlow); Azure Scheduled Job (produção); Azure Key Vault (credenciais). Ver GCO-AASPGOV01-001.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(Patrocinador — 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e aceite formal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de kickoff, alinhamento e homologação (ATA-001 a 004)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e decisões técnicas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direto e revisão de código (PR)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Alves (Auditor GQA)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ao encerramento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e suporte (GPR 8, 16)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deploy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(Azure Scheduler staging) → release candidate → produção (Azure Scheduler prod)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 (DevOps) — pipelines Azure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Aprovador do go-live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(GP), com aceite do Patrocinador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BL-DEV-001 (v0.9.0, 20/05) → BL-HOM-001 (v1.0.0-rc.1, 29/05) → BL-PROD-001 (v1.0.0, 02/06)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Logs estruturados por execução/desenvolvedor/card (RNF04); execução agendada não supervisionada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(GPR 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Probab.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Estratégia de mitigação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no contrato da API do Sensr ou Jira durante o projeto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de changelogs; testes em homologação antes de qualquer atualização em produção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Sob controle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inválidas de um desenvolvedor bloqueando a execução completa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 por desenvolvedor: falha de um não interrompe os demais (CT-09)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Tratado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Scope creep — campos ou comportamentos além do mapeado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fixado no TAP-AASPGOV01-001; adição requer CR formal e aprovação do Sponsor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Não ocorreu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insuficiente para grandes volumes (&gt;50 cards/Epic)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Paginação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nextPageToken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(CT-10); validada em homologação com dados reais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Tratado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Divergência de status entre Sensr e Jira por mapeamento incorreto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StatusMapper testado em CT-05; validação explícita do CA04 no aceite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Tratado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Projeto viável: escopo delimitado, equipe alocada e arquitetura em camadas que isola integrações. A eliminação do trabalho manual de migração e a manutenção da consistência durante a transição justificam o esforço estimado (216 h). Riscos de maior impacto (R01, R05) endereçados por monitoramento e por testes em ambiente real.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Aprovação do plano (GPR 13)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/ Cliente (AASP)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do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 (ATA-AASPGOV01-001)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do plano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Aceite final registrado no encerramento (TAE-AASPGOV01-001, 02/06/2026).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consolidado a partir do INTAKE-AASPGOV01 (14/06/2026) e do RDP-AASPGOV01-001 v3.0.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PLA-AASPGOV01-001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