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RASTR-AASPGOV01-001   ·   Versão 1.0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SensrJiraSync: Serviço de Sincronização de Atividades entre Sensr e Jira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Rastreabilidade Requisito × Sprint × Cenário de Teste × Critério de Aceite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Rastreabilidade bidirecional (REQ 4): de cada requisito ao sprint de implementação, ao cenário de teste que o exercita e ao critério de aceite que o valida (ver REQ-AASPGOV01-001 e VV-AASPGOV01-001).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 resumida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Cenário(s) de teste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multi-dev no Sensr (JWT)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no Jira (Basic Auth)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de projetos como Epics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de atividades como Tasks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de sub-atividades como Subtasks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Sincronização incremental de 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Conversão de HTML para ADF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de status Sensr → 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do histórico como comentários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Idempotência por prefixo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Paginação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nextPageToken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(&gt;50 issues)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Verificado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Ciclo completo ≤ 30 min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cronometrada em HOM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Atingida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duplicatas (idempotência)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CT-01, CT-02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Atingida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Logs estruturados por evento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CT-09, CT-11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Atingida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em camadas (Core/Infra/App)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Avaliação de design (D01)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Atingida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.NET 8 LTS / manutenibilidade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e build CI/CD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Atingida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em Azure Key Vault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(GCO)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Atingida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Cenários de teste × Critérios de aceite (12 CT)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Requisito(s)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 — Migração inicial completa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RF02, RF03, RF04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CA01, CA02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 — Idempotência (sem duplicatas)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RF10, RNF02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 — Sincronização incremental de 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 — Subtasks vinculadas à Task pai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 — Mapeamento de todos os 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 — Conversão de HTML para ADF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 — Histórico como comentários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 — Migração de labels com normalização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RF03, RF04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 — Credencial inválida: isolamento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RF01, RNF03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 — Paginação de Epic (&gt;50 issues)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 — Transição indisponível: log de aviso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RF08, RNF03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 — Sanitização de labels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RF03, RF04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Cobertura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sem cobertura:</w:t>
      </w:r>
      <w:r>
        <w:rPr>
          <w:rFonts w:ascii="Calibri" w:hAnsi="Calibri"/>
          <w:b w:val="0"/>
          <w:i w:val="0"/>
          <w:sz w:val="22"/>
        </w:rPr>
        <w:t xml:space="preserve"> nenhum — todos os RF têm cenário de teste e critério de aceite associados; os RNF são verificados de forma transversal (performance cronometrada, idempotência, logs, design em camadas, build .NET 8 e auditoria de configuração).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Cenários sem requisito associado:</w:t>
      </w:r>
      <w:r>
        <w:rPr>
          <w:rFonts w:ascii="Calibri" w:hAnsi="Calibri"/>
          <w:b w:val="0"/>
          <w:i w:val="0"/>
          <w:sz w:val="22"/>
        </w:rPr>
        <w:t xml:space="preserve"> nenhum — CT-08 e CT-12 cobrem a preservação/sanitização de labels, parte da migração de metadados (RF03/RF04).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Critérios de aceite CA01–CA07 detalhados em VV-AASPGOV01-001; decisões D01–D07 em GDE-AASPGOV01-001.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 consolidada a partir do INTAKE-AASPGOV01 (14/06/2026); cruzamento RF×CT×CA derivado das listas do Bloco 3 e 9.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RASTR-AASPGOV01-001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