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REQ-AASPGOV01-001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 · Cezar Hiraki Velazquez (Tech Lead / 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sistema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Serviço .NET 8 LTS (C#) executado como </w:t>
      </w:r>
      <w:r>
        <w:rPr>
          <w:rFonts w:ascii="Calibri" w:hAnsi="Calibri"/>
          <w:b/>
          <w:i w:val="0"/>
          <w:sz w:val="22"/>
        </w:rPr>
        <w:t>Azure Scheduled Job</w:t>
      </w:r>
      <w:r>
        <w:rPr>
          <w:rFonts w:ascii="Calibri" w:hAnsi="Calibri"/>
          <w:b w:val="0"/>
          <w:i w:val="0"/>
          <w:sz w:val="22"/>
        </w:rPr>
        <w:t xml:space="preserve"> que realiza a migração automatizada de cards do Sensr para o Jira e mantém a sincronização incremental de status entre as duas plataformas durante o período de transição da AASP. A solução elimina o trabalho manual de migração e preserva hierarquia, descrição, status, responsáveis, labels, datas e histórico de cada atividade migrada.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(Patrocinador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fiel e automatizada, sem divergência durante a transição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Gestores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Visibilidade das atividades no Jira durante a migração gradual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 (Timeware)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Idempotência, rastreabilidade e isolamento de falha por desenvolvedor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multi-desenvolvedor no Sensr via JWT por credencial individual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no Jira via Basic Auth com API Token por workspace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projetos Sensr como Epics no Jira com preservação de metadados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atividades como Tasks no Jira vinculadas ao Epic correspondente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sub-atividades como Subtasks vinculadas à Task pai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 de status (Sensr → Jira) para cards já migrados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de conteúdo HTML do Sensr para ADF (Atlassian Document Format)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de status: TODO→To Do, DOING→In Progress, VALIDATION→To Test, STOPPED→Blocked, DONE→Done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histórico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description_history</w:t>
            </w:r>
            <w:r>
              <w:rPr>
                <w:rFonts w:ascii="Calibri" w:hAnsi="Calibri"/>
                <w:b w:val="0"/>
                <w:i w:val="0"/>
                <w:sz w:val="20"/>
              </w:rPr>
              <w:t>) como comentários individuais na Task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Idempotência: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 impede duplicação em reexecuções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Paginação de resultados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Epics com mais de 50 issues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completa do ciclo em no máximo 30 minutos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30 min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duplicatas em execuções repetidas (idempotência)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duplicatas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0 duplicatas (CT-01, CT-02)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contínua via Azure Scheduler (sem intervenção manual)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 (Azure Scheduler)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estruturados por desenvolvedor, por execução e por card processado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por evento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e estrutura .NET 8 LTS para manutenção de longo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8 LTS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armazenadas em Azure Key Vault; sem hardcode em código-fonte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Key Vault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Sincronização unidirecional (Sensr → Jira); a sincronização de status é a única atualização aplicada a cards já migrados.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Jira v3 exige ADF para campos de texto rico.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identificação de cards migrados depende do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do Sensr e do Jira permanecem disponíveis e com contratos estáveis.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workspace Jira inclui os status mapeados (To Do, In Progress, To Test, Blocked, Done).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Cada desenvolvedor possui credenciais válidas no Sensr e conta válida no Jira.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e requisitos (RF01–RF11, RNF01–RNF06)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interna com o cliente na reunião de abertura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(TAP-AASPGOV01-001 · ATA-AASPGOV01-001)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Critérios de aceite CA01–CA07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da homologação com o Patrocinador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(ATA-AASPGOV01-003)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RF × CA × CT em RASTR-AASPGOV01-001.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INTAKE-AASPGOV01 (14/06/2026) e do RDP-AASPGOV01-001 v3.0.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REQ-AASPGOV01-001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