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ATA DE REUNIÃO — ALINHAMENTO E REVISÃO DO FLUXO DE CAPTURA (REFATORAÇÃO ANDAMENTOSPROCESSUAIS)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ATA-AASPAP01-001   ·   Versão Data   ·   11/06/2026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ATA-AASPAP01-001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AASP_AndamentosProcessuais — Refatoração da Solução de Captura de Andamentos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 / Responsável pela 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 (acompanhamento — evidência de projeto)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Local / meio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Videoconferência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Esta ata consolida o alinhamento técnico do fluxo (07/04/2026) e a revisão do fluxo com o time ampliado (08/05/2026), conforme o BLOCO 10 do levantamento do projeto.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1. Participantes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Nome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Organização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Tech Lead / DevOps / Arquiteto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Desenvolvedor Sênior (Principal)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Mateus Veloso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Desenvolvedor (Suporte)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Caroline Sousa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Analista de QA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Lucas Batista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DevOps / Infraestrutura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Sessão 1 — Alinhamento do fluxo da API CNJ (07/04/2026)</w:t>
      </w:r>
    </w:p>
    <w:p>
      <w:pPr>
        <w:pStyle w:val="Heading2"/>
        <w:keepNext/>
        <w:keepLines/>
      </w:pPr>
      <w:r>
        <w:t>2. Pauta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Apresentação do novo fluxo de captura multi-fonte (DataJud/CNJ + EPROC/ESAJ + parceiras).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Definição das responsabilidades de cada componente no novo modelo.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Integração do desenvolvedor de suporte (Mateus Veloso), incorporado em Abr/2026.</w:t>
      </w:r>
    </w:p>
    <w:p>
      <w:pPr>
        <w:pStyle w:val="Heading2"/>
        <w:keepNext/>
        <w:keepLines/>
      </w:pPr>
      <w:r>
        <w:t>3. Discussões e definições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O Gerente de Projeto apresentou o fluxo completo da refatoração: migração do </w:t>
      </w:r>
      <w:r>
        <w:rPr>
          <w:rFonts w:ascii="Courier New" w:hAnsi="Courier New"/>
          <w:b w:val="0"/>
          <w:i w:val="0"/>
          <w:color w:val="333333"/>
          <w:sz w:val="20"/>
        </w:rPr>
        <w:t>CapturaServer</w:t>
      </w:r>
      <w:r>
        <w:rPr>
          <w:rFonts w:ascii="Calibri" w:hAnsi="Calibri"/>
          <w:b w:val="0"/>
          <w:i w:val="0"/>
          <w:sz w:val="22"/>
        </w:rPr>
        <w:t xml:space="preserve"> para a fila unificada </w:t>
      </w:r>
      <w:r>
        <w:rPr>
          <w:rFonts w:ascii="Courier New" w:hAnsi="Courier New"/>
          <w:b w:val="0"/>
          <w:i w:val="0"/>
          <w:color w:val="333333"/>
          <w:sz w:val="20"/>
        </w:rPr>
        <w:t>WorkerAndamentos</w:t>
      </w:r>
      <w:r>
        <w:rPr>
          <w:rFonts w:ascii="Calibri" w:hAnsi="Calibri"/>
          <w:b w:val="0"/>
          <w:i w:val="0"/>
          <w:sz w:val="22"/>
        </w:rPr>
        <w:t xml:space="preserve"> (RabbitMQ) com </w:t>
      </w:r>
      <w:r>
        <w:rPr>
          <w:rFonts w:ascii="Courier New" w:hAnsi="Courier New"/>
          <w:b w:val="0"/>
          <w:i w:val="0"/>
          <w:color w:val="333333"/>
          <w:sz w:val="20"/>
        </w:rPr>
        <w:t>SegmentoTribunal</w:t>
      </w:r>
      <w:r>
        <w:rPr>
          <w:rFonts w:ascii="Calibri" w:hAnsi="Calibri"/>
          <w:b w:val="0"/>
          <w:i w:val="0"/>
          <w:sz w:val="22"/>
        </w:rPr>
        <w:t>, webhook de indexação parametrizado para múltiplas fontes, histórico de movimentações por inativação de registro, e verificação/desligamento nas APIs parceiras (Solucionário, Botmax) na camada da API após a captura via CNJ.</w:t>
      </w:r>
    </w:p>
    <w:p>
      <w:pPr>
        <w:pStyle w:val="Heading2"/>
        <w:keepNext/>
        <w:keepLines/>
      </w:pPr>
      <w:r>
        <w:t>4. Decisões e aceites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Decisão / aceite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Parametrizar o webhook para suporte multi-fonte (D03)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 / time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07/04/2026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Histórico de movimentações por inativação de registro (D04)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07/04/2026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Verificação/desligamento das parceiras na camada da API (D05)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07/04/2026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(Decisões detalhadas em GDE-AASPAP01-001.)</w:t>
      </w:r>
    </w:p>
    <w:p>
      <w:pPr>
        <w:pStyle w:val="Heading2"/>
        <w:keepNext/>
        <w:keepLines/>
      </w:pPr>
      <w:r>
        <w:t>5. Ações (follow-up)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Prazo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Refatorar o webhook para múltiplas fontes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Implementar a lógica de movimentações por inativação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Onboarding do desenvolvedor de suporte no fluxo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Abr/2026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Sessão 2 — Revisão do fluxo e definição de atividades (08/05/2026)</w:t>
      </w:r>
    </w:p>
    <w:p>
      <w:pPr>
        <w:pStyle w:val="Heading2"/>
        <w:keepNext/>
        <w:keepLines/>
      </w:pPr>
      <w:r>
        <w:t>6. Pauta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Revisão completa do fluxo com o time ampliado.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Redistribuição de atividades entre os dois projetos correlatos (AASP_AndamentosProcessuais e AASP_CNJ).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Planejamento da continuidade do time durante o período de férias do GP (06–08/05/2026).</w:t>
      </w:r>
    </w:p>
    <w:p>
      <w:pPr>
        <w:pStyle w:val="Heading2"/>
        <w:keepNext/>
        <w:keepLines/>
      </w:pPr>
      <w:r>
        <w:t>7. Discussões e definições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Revisado o andamento das Fases 3–4: webhook multi-fonte e movimentações entregues; foco no tratamento de erros por instância (campo </w:t>
      </w:r>
      <w:r>
        <w:rPr>
          <w:rFonts w:ascii="Courier New" w:hAnsi="Courier New"/>
          <w:b w:val="0"/>
          <w:i w:val="0"/>
          <w:color w:val="333333"/>
          <w:sz w:val="20"/>
        </w:rPr>
        <w:t>Observacao</w:t>
      </w:r>
      <w:r>
        <w:rPr>
          <w:rFonts w:ascii="Calibri" w:hAnsi="Calibri"/>
          <w:b w:val="0"/>
          <w:i w:val="0"/>
          <w:sz w:val="22"/>
        </w:rPr>
        <w:t xml:space="preserve">), no controle de segredo de justiça por instância (campo </w:t>
      </w:r>
      <w:r>
        <w:rPr>
          <w:rFonts w:ascii="Courier New" w:hAnsi="Courier New"/>
          <w:b w:val="0"/>
          <w:i w:val="0"/>
          <w:color w:val="333333"/>
          <w:sz w:val="20"/>
        </w:rPr>
        <w:t>Segredo</w:t>
      </w:r>
      <w:r>
        <w:rPr>
          <w:rFonts w:ascii="Calibri" w:hAnsi="Calibri"/>
          <w:b w:val="0"/>
          <w:i w:val="0"/>
          <w:sz w:val="22"/>
        </w:rPr>
        <w:t xml:space="preserve">, decisão D07) e na atualização do </w:t>
      </w:r>
      <w:r>
        <w:rPr>
          <w:rFonts w:ascii="Courier New" w:hAnsi="Courier New"/>
          <w:b w:val="0"/>
          <w:i w:val="0"/>
          <w:color w:val="333333"/>
          <w:sz w:val="20"/>
        </w:rPr>
        <w:t>CodigoFonteAPI</w:t>
      </w:r>
      <w:r>
        <w:rPr>
          <w:rFonts w:ascii="Calibri" w:hAnsi="Calibri"/>
          <w:b w:val="0"/>
          <w:i w:val="0"/>
          <w:sz w:val="22"/>
        </w:rPr>
        <w:t>. Esse escopo adicional foi formalizado no CR-AASPAP01-002. Acordada a continuidade autônoma do time durante a ausência do gestor.</w:t>
      </w:r>
    </w:p>
    <w:p>
      <w:pPr>
        <w:pStyle w:val="Heading2"/>
        <w:keepNext/>
        <w:keepLines/>
      </w:pPr>
      <w:r>
        <w:t>8. Decisões e aceites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Decisão / aceite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Controlar segredo de justiça por instância — campo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Segredo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(D07)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08/05/2026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Formalizar o escopo adicional da Fase 4 (CR-AASPAP01-002)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 / Marcos Correa Fernandez Turnes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Redistribuir atividades entre AASP_AndamentosProcessuais e AASP_CNJ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 / time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08/05/2026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9. Próximos passos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Conclusão da Fase 4 (tratamento de erros, segredo e validação E2E + regressão EPROC) e preparação da Fase 5 (montagem do pacote GMUD e deploy em produção).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 consolidando o alinhamento de 07/04/2026 e a revisão de 08/05/2026, reconstituída a partir do INTAKE-PROJETO_AASPAP01 v1.0 (14/06/2026, BLOCO 10) e do Registro de Projeto REG-AASPAP01-001.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ATA-AASPAP01-001</w:t>
    </w:r>
    <w:r>
      <w:tab/>
    </w:r>
    <w:r>
      <w:rPr>
        <w:rFonts w:ascii="Calibri" w:hAnsi="Calibri"/>
        <w:color w:val="555555"/>
        <w:sz w:val="18"/>
      </w:rPr>
      <w:t>Governança Organizacional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