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GERÊNCIA DE CONFIGURAÇÃO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GCO-AASPAP01-001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 / Responsável GCO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o gerenciamento de configuração do projeto: itens de configuração (ICs), estratégia de controle de versão, baselines e gestão de mudanças. Conforme ADAP-AASPAP01-001, o papel de responsável por GCO foi acumulado pelo Gerente de Projeto (Abraão Oliveira), dada a maturidade do controle de versão via Azure DevOps e GitFlow.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Estratégia de gerência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Plataforma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(controle de versão e pipeline CI/CD)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Modelo de branching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GitFlow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feature/*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bugfix/*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release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hotfix/*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 partir de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Convenção de tags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Numeração sequencial de versão (ex.: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v240</w:t>
            </w:r>
            <w:r>
              <w:rPr>
                <w:rFonts w:ascii="Calibri" w:hAnsi="Calibri"/>
                <w:b w:val="0"/>
                <w:i w:val="0"/>
                <w:sz w:val="20"/>
              </w:rPr>
              <w:t>, referenciada nas atividades de GMUD)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de PR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Mínimo 1 revisor além do autor para merge de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</w:t>
            </w:r>
            <w:r>
              <w:rPr>
                <w:rFonts w:ascii="Calibri" w:hAnsi="Calibri"/>
                <w:b w:val="0"/>
                <w:i w:val="0"/>
                <w:sz w:val="20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bugfix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segredos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 das APIs parceiras e da fila centralizadas em configuração protegida, sem exposição em logs (RNF-02)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de banco (DDL) e contratos do webhook multi-fonte versionados no Azure DevOps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Itens de configuração (ICs)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Repositório / Localização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(.NET)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AndamentosProcessuais (webhook multi-fonte, controle de movimentações)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 AndamentosProcessuais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(.NET)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 (publicação na fila WorkerAndamentos / SegmentoTribunal)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 AndamentosProcessuais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de dados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DDL / migrations (Observacao, Segredo, CodigoFonteAPI)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— pasta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/db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do repositório correspondente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 de implantação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Pacotes de publicação (GMUD)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Servidor de artefatos interno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Contratos do webhook multi-fonte e integração com APIs parceiras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— pasta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/docs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 de gestão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de gestão (backlog, sprints, tarefas) — base para carga no Jira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GEST-AASPAP01_Planilha-de-Gestao-do-Projeto.xlsx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Baselines estabelecidas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BL-LEGADO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inicial da solução legada (ponto de partida da refatoração)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v220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(referenciada nas atividades de GMUD)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BL-WEBHOOK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publicação do webhook EPROC/ESAJ e fila RabbitMQ (Fases 1–2)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v230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(referenciada nas atividades de GMUD)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IC-02, IC-03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publicação da refatoração multi-fonte CNJ e tratamento de erros (Fases 3–4)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v240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(referenciada nas atividades de GMUD)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IC-02, IC-03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BL-HOTFIX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Correção pós-implantação aplicada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(nullabilidade em CapturaLogin sob carga)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v241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(referenciada nas atividades de GMUD)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 baseline de encerramento será registrada no fechamento do projeto (Fase 5 — implantação).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Gestão de mudanças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Mudanças de escopo/arquitetura são formalizadas em reuniões de alinhamento registradas como atividades no ClickUp (participantes, data, decisões e impacto).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escopo adicional de homologação EPROC/ESAJ e devolutiva aos associados foi acordado formalmente com o cliente — formalizado em CR-AASPAP01-001.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escopo adicional da Fase 4 (campos Observacao, Segredo e CodigoFonteAPI e tratamentos de erro por instância) foi acordado com o cliente — formalizado em CR-AASPAP01-002.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implantação em produção segue o rito de GMUD: montagem de pacote, validação em homologação e agendamento com a Infraestrutura.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Auditoria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ICs versionados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IC-01 a IC-03 no repositório; IC-05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/docs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publicação identificada por tag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v230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v240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referenciadas nas atividades de GMUD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Credenciais/segredos não expostos em logs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protegida das parceiras e da fila (RNF-02)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Merges revisados antes da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com no mínimo 1 revisor além do autor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 auditoria de configuração de encerramento será registrada no fechamento do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Evidências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devops_andamentos_branches.png</w:t>
      </w:r>
      <w:r>
        <w:rPr>
          <w:rFonts w:ascii="Calibri" w:hAnsi="Calibri"/>
          <w:b w:val="0"/>
          <w:i w:val="0"/>
          <w:sz w:val="22"/>
        </w:rPr>
        <w:t xml:space="preserve"> — GitFlow no Azure DevOps — branches do AndamentosProcessuais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devops_andamentos_commits.png</w:t>
      </w:r>
      <w:r>
        <w:rPr>
          <w:rFonts w:ascii="Calibri" w:hAnsi="Calibri"/>
          <w:b w:val="0"/>
          <w:i w:val="0"/>
          <w:sz w:val="22"/>
        </w:rPr>
        <w:t xml:space="preserve"> — Histórico de commits (Azure DevOps)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devops_andamentos_tags.png</w:t>
      </w:r>
      <w:r>
        <w:rPr>
          <w:rFonts w:ascii="Calibri" w:hAnsi="Calibri"/>
          <w:b w:val="0"/>
          <w:i w:val="0"/>
          <w:sz w:val="22"/>
        </w:rPr>
        <w:t xml:space="preserve"> — Tags de baseline (v220/v230/v240/v241)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devops_andamentos_estrutura.png</w:t>
      </w:r>
      <w:r>
        <w:rPr>
          <w:rFonts w:ascii="Calibri" w:hAnsi="Calibri"/>
          <w:b w:val="0"/>
          <w:i w:val="0"/>
          <w:sz w:val="22"/>
        </w:rPr>
        <w:t xml:space="preserve"> — Estrutura do repositório AndamentosProcessuais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estrutura_andamentosProcessuais.png</w:t>
      </w:r>
      <w:r>
        <w:rPr>
          <w:rFonts w:ascii="Calibri" w:hAnsi="Calibri"/>
          <w:b w:val="0"/>
          <w:i w:val="0"/>
          <w:sz w:val="22"/>
        </w:rPr>
        <w:t xml:space="preserve"> — Estrutura da solução AndamentosProcessuais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devops_andamentos_pipeline_ci.png</w:t>
      </w:r>
      <w:r>
        <w:rPr>
          <w:rFonts w:ascii="Calibri" w:hAnsi="Calibri"/>
          <w:b w:val="0"/>
          <w:i w:val="0"/>
          <w:sz w:val="22"/>
        </w:rPr>
        <w:t xml:space="preserve"> — Pipeline CI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devops_andamentos_pipeline_cicd.png</w:t>
      </w:r>
      <w:r>
        <w:rPr>
          <w:rFonts w:ascii="Calibri" w:hAnsi="Calibri"/>
          <w:b w:val="0"/>
          <w:i w:val="0"/>
          <w:sz w:val="22"/>
        </w:rPr>
        <w:t xml:space="preserve"> — Pipeline CI/CD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configuração consolidado a partir do Registro de Projeto AASP_AndamentosProcessuais.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t>Evidências (anexos)</w:t>
      </w:r>
    </w:p>
    <w:p>
      <w:r>
        <w:t>GitFlow no Azure DevOps — branches do AndamentosProcessuais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andamentos_branch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Histórico de commits (Azure DevOps)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andamentos_comm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Tags de baseline (v220/v230/v240/v241)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andamentos_ta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Estrutura do repositório AndamentosProcessuais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andamentos_estru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Estrutura da solução AndamentosProcessuais</w:t>
      </w:r>
    </w:p>
    <w:p>
      <w:r>
        <w:drawing>
          <wp:inline xmlns:a="http://schemas.openxmlformats.org/drawingml/2006/main" xmlns:pic="http://schemas.openxmlformats.org/drawingml/2006/picture">
            <wp:extent cx="5400000" cy="110265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tura_andamentosProcessua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026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Pipeline CI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andamentos_pipeline_c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Pipeline CI/CD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andamentos_pipeline_cic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GCO-AASPAP01-001</w:t>
    </w:r>
    <w:r>
      <w:tab/>
    </w:r>
    <w:r>
      <w:rPr>
        <w:rFonts w:ascii="Calibri" w:hAnsi="Calibri"/>
        <w:color w:val="555555"/>
        <w:sz w:val="18"/>
      </w:rPr>
      <w:t>Gerência de Configuração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