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AASP_ANDAMENTOSPROCESSUAIS · MODELO DE HISTÓRICO DE MOVIMENTAÇÕES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como registrar o histórico de movimentações processuais por instância no novo modelo de captura, sem perda de dados e preservando a retrocompatibilidade com a solução legada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 xml:space="preserve"> (em produção há ~20 anos). Esta decisão (D04) é a de maior impacto sobre a integridade dos dados na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 estrutural no modelo de persistência de uma solução legada em produção, com risco de regressão e de perda de histórico — atinge os gatilhos do PRO-GDE-001 (alto impacto sobre dado em produção e sobre a arquitetura de persistência).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existente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o registro de movimentação ativo a cada nova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Inativar o registro anterior e criar um novo a cada captura, preservando o histórico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 (integridade)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com o fluxo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(update)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(inativação)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B — histórico por inativação de registro</w:t>
      </w:r>
      <w:r>
        <w:rPr>
          <w:rFonts w:ascii="Calibri" w:hAnsi="Calibri"/>
          <w:b w:val="0"/>
          <w:i w:val="0"/>
          <w:sz w:val="22"/>
        </w:rPr>
        <w:t xml:space="preserve">. A nova captura inativa o registro anterior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cria um novo, sem sobrescrever dados. Preserva integralmente o histórico por instância (RNF05), elimina o risco de perda de movimentações na transição (R-03) e mantém a rastreabilidade exigida (RNF02). O modelo apenas adiciona registros, nunca os altera destrutivamente.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Crescimento da tabela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— volume controlado; registros inativos preservados para auditoria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no fluxo EPROC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com testes de regressão por amostragem (CT-12) e refatoração cirúrgica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fluxo de captura legado permanece operante durante toda a transição (RNF01).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não sofre alteração estrutural; o webhook é parametrizado, não reescrito.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Decisões formais registradas no levantamento do projeto (INTAKE-PROJETO_AASPAP01, BLOCO 7).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 / Problema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da solução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 vs. webhook dedicado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webhook de indexação específico para EPROC/ESAJ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Viabilizar captura via engine nativo TJSP sem regressão no fluxo legado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fila por tribunal vs. fila única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Migrar o CapturaServer da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EprocTjsp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o pipeline e preparar para múltiplas fontes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 campos fixos do TJSP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 vs. parametrizar o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duplicação de lógica e reduzir manutenção futura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vs. inativação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 (não por update)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o histórico por instância sem perda de dados (RAD detalhado acima)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 vs.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permanece agnóstico; controladores já existem na API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 vs.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Estruturas/endpoints diferentes; interface comum facilita novas parceiras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de justiça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por processo vs.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do modelo de histórico de movimentações (D04) + registro consolidado das decisões D01–D07, a partir do INTAKE-PROJETO_AASPAP01 v1.0 (14/06/2026)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GDE-AASPAP01-001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