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MEDIÇÃO — AASP_ANDAMENTOSPROCESSUAIS · REFATORAÇÃO DA SOLUÇÃO DE CAPTURA DE 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Indicador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Registrar as medidas coletadas ao longo do projeto, conforme o PLA-MED-001, para apoiar a análise de prazo, esforço, qualidade e rastreabilidade da refatoração da solução legada </w:t>
      </w:r>
      <w:r>
        <w:rPr>
          <w:rFonts w:ascii="Courier New" w:hAnsi="Courier New"/>
          <w:b w:val="0"/>
          <w:i w:val="0"/>
          <w:color w:val="333333"/>
          <w:sz w:val="20"/>
        </w:rPr>
        <w:t>AndamentosProcessuais</w:t>
      </w:r>
      <w:r>
        <w:rPr>
          <w:rFonts w:ascii="Calibri" w:hAnsi="Calibri"/>
          <w:b w:val="0"/>
          <w:i w:val="0"/>
          <w:sz w:val="22"/>
        </w:rPr>
        <w:t xml:space="preserve"> para o modelo DataJud/CNJ + </w:t>
      </w:r>
      <w:r>
        <w:rPr>
          <w:rFonts w:ascii="Courier New" w:hAnsi="Courier New"/>
          <w:b w:val="0"/>
          <w:i w:val="0"/>
          <w:color w:val="333333"/>
          <w:sz w:val="20"/>
        </w:rPr>
        <w:t>WorkerAndamentos</w:t>
      </w:r>
      <w:r>
        <w:rPr>
          <w:rFonts w:ascii="Calibri" w:hAnsi="Calibri"/>
          <w:b w:val="0"/>
          <w:i w:val="0"/>
          <w:sz w:val="22"/>
        </w:rPr>
        <w:t>. As medidas têm origem na Planilha de Gestão GEST-AASPAP01 (abas Medição, Acompanhamento e Change Requests) e no levantamento INTAKE-PROJETO_AASPAP01.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Indicadores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consolidado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cronograma (% entregas no prazo)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85%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~91% médio (Fases 1–2: 100%; Fases 3–4: ~85% por escopo acordado)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 (%)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20%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+9,7% médio (Fases 1–2: +9%; Fases 3–4: +10%)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identificados em homologação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(0 nas Fases 1–2; 5 nas Fases 3–4)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Contidos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escapados para produção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contenção de defeitos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95%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(5/5 corrigidos antes da implantação)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Retrabalho (% do esforço)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requisitos com rastreabilidade completa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(RASTR-AASPAP01-001)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% conformidade GQA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(21/21 itens conformes)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NCs de GQA abertas ao encerramento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realizado vs. planejado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(12 RF + 5 RNF)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de status por instância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processos com status por instância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Nota: o projeto foi gerido por horas/fases no ClickUp, sem story points e sem velocity — por isso os indicadores M3/M4 do template CNJ (SP entregues e velocity) não se aplicam e foram substituídos pelos indicadores de qualidade e rastreabilidade efetivamente coletados.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Medidas de esforço (prazo/progresso)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estimado (h)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realizado (h)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principal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Webhook e CapturaServer (EPROC)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Dez/2025–Fev/2026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Estabilização e integração RabbitMQ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Fev/2026–Mar/2026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Cézar Hiraki Velázquez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Refatoração para suporte ao CNJ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Abr/2026–Mai/2026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+11%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Mateus Veloso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Tratamento de erros e validação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Mai/2026–Jun/2026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Caroline Sousa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— Implantação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apuração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/ Lucas Batista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Dez/2025–Jun/2026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~348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~362 (parcial)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+9,7%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Indicadores funcionais da refatoração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compatível com múltiplas fontes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das fontes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Operacional para CNJ, EPROC/ESAJ e APIs parceiras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Processos desligados nas parceiras após captura via 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casos identificados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movimentações por instância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perda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preservado (modelo por inativação)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de variâncias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Magnitude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Causa-raiz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de ~30 dias na Fase 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Escopo adicional acordado (campos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Observacao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múltiplas rotinas e tratamentos de erro) — ver CR-AASPAP01-002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 de +9,7% no total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EPROC/ESAJ mais extensa e devolutiva aos associados (CR-AASPAP01-001); estabilização além do previsto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atraso e o desvio são explicados por escopo adicional acordado com o cliente, absorvido pelo time sem custo extra, e não por desvio de produtividade. O deadline final (Jun/2026) foi mantido. As metas de prazo, esforço, qualidade e rastreabilidade foram atingidas, com 0 defeitos escapados para produção.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Comunicação dos resultados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PLA-MED-001 §7, os resultados foram comunicados nas reuniões de alinhamento e revisão (ver ATA-AASPAP01-001), nas auditorias de GQA (GQA-AASPAP01-001, 100% de conformidade) e na devolutiva aos associados sobre o resultado da solução EPROC/ESAJ em produção. A consolidação de encerramento será registrada no fechamento do projeto, após a conclusão da Fase 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medição consolidado a partir da Planilha de Gestão GEST-AASPAP01 (abas Medição, Acompanhamento e Change Requests) e do INTAKE-PROJETO_AASPAP01 v1.0 (14/06/2026).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Indicador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