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PCP-AASPAP01-001   ·   Versão Data   ·   API REST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legada AndamentosProcessuais (.NET) é refatorada de forma cirúrgica em dois componentes coordenados: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, serviço Windows que passa a publicar os processos pendentes na fila unificada WorkerAndamentos (RabbitMQ) com o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; e a </w:t>
      </w:r>
      <w:r>
        <w:rPr>
          <w:rFonts w:ascii="Calibri" w:hAnsi="Calibri"/>
          <w:b/>
          <w:i w:val="0"/>
          <w:sz w:val="22"/>
        </w:rPr>
        <w:t>API AndamentosProcessuais</w:t>
      </w:r>
      <w:r>
        <w:rPr>
          <w:rFonts w:ascii="Calibri" w:hAnsi="Calibri"/>
          <w:b w:val="0"/>
          <w:i w:val="0"/>
          <w:sz w:val="22"/>
        </w:rPr>
        <w:t xml:space="preserve">, que recebe os dados capturados via webhook multi-fonte, serializa para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, indexa no Elasticsearch e atualiza as tabelas de controle. O design atende à unificação de fila (RF01), ao suporte multi-fonte (RF02), ao histórico de movimentações por instância (RF03, RF04), ao desligamento nas parceiras (RF05, RF06), ao tratamento de erros e segredo por instância (RF07–RF11) e à priorização de retorno (RF12), preservando a retrocompatibilidade do fluxo existente (RNF01).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refatoração evolui a solução legada em camadas (API .NET + CapturaServer + workers) sem reescrita. O roteamento por fonte é feito pelo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e o histórico de movimentações é mantido por inativação de registros (nunca por sobrescrita).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CapturaServer (Serviço Windows):</w:t>
      </w:r>
      <w:r>
        <w:rPr>
          <w:rFonts w:ascii="Calibri" w:hAnsi="Calibri"/>
          <w:b w:val="0"/>
          <w:i w:val="0"/>
          <w:sz w:val="22"/>
        </w:rPr>
        <w:t xml:space="preserve"> identifica processos pendentes de captura e publica na fila unificada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do RabbitMQ, com NUP e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independente do tribunal de origem. Migração da fila anterior (</w:t>
      </w:r>
      <w:r>
        <w:rPr>
          <w:rFonts w:ascii="Courier New" w:hAnsi="Courier New"/>
          <w:b w:val="0"/>
          <w:i w:val="0"/>
          <w:color w:val="333333"/>
          <w:sz w:val="20"/>
        </w:rPr>
        <w:t>EprocTjsp</w:t>
      </w:r>
      <w:r>
        <w:rPr>
          <w:rFonts w:ascii="Calibri" w:hAnsi="Calibri"/>
          <w:b w:val="0"/>
          <w:i w:val="0"/>
          <w:sz w:val="22"/>
        </w:rPr>
        <w:t>) para a fila única (decisão D02).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API AndamentosProcessuais (webhook multi-fonte):</w:t>
      </w:r>
      <w:r>
        <w:rPr>
          <w:rFonts w:ascii="Calibri" w:hAnsi="Calibri"/>
          <w:b w:val="0"/>
          <w:i w:val="0"/>
          <w:sz w:val="22"/>
        </w:rPr>
        <w:t xml:space="preserve"> recebe os dados de qualquer fonte (EPROC/ESAJ, DataJud/CNJ) sem campos fixos por tribunal (decisão D03), serializa para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 xml:space="preserve"> e indexa no Elasticsearch. Atualiza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(incl.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), gerencia o histórico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ProcessoCapturaMovimentacaoStatus</w:t>
      </w:r>
      <w:r>
        <w:rPr>
          <w:rFonts w:ascii="Calibri" w:hAnsi="Calibri"/>
          <w:b w:val="0"/>
          <w:i w:val="0"/>
          <w:sz w:val="22"/>
        </w:rPr>
        <w:t xml:space="preserve"> e o controle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). Após captura via CNJ, aciona a verificação e o desligamento do NUP nas APIs parceiras pela camada da API (decisão D05), via controladores específicos por parceira (decisão D06). O </w:t>
      </w:r>
      <w:r>
        <w:rPr>
          <w:rFonts w:ascii="Courier New" w:hAnsi="Courier New"/>
          <w:b w:val="0"/>
          <w:i w:val="0"/>
          <w:color w:val="333333"/>
          <w:sz w:val="20"/>
        </w:rPr>
        <w:t>RunUpdater</w:t>
      </w:r>
      <w:r>
        <w:rPr>
          <w:rFonts w:ascii="Calibri" w:hAnsi="Calibri"/>
          <w:b w:val="0"/>
          <w:i w:val="0"/>
          <w:sz w:val="22"/>
        </w:rPr>
        <w:t xml:space="preserve"> foi desmembrado para priorizar os retornos por tipo de resultado (RF12).</w:t>
      </w:r>
    </w:p>
    <w:p>
      <w:pPr>
        <w:pStyle w:val="Heading2"/>
        <w:keepNext/>
        <w:keepLines/>
      </w:pPr>
      <w:r>
        <w:t>2.2. Modelo de dados (tabelas de controle)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Tabela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global do processo e a fonte de captura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); recebe status 3 em erro parcial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(erro),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códigos de status/resposta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(inativação + novo registro)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ITP-AASPAP01-001.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Message broker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Fila unificada WorkerAndamentos (NUP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 —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de captura universal (consumida via WorkerAndamentos)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EPROC/ESAJ (TJSP)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Portal judicial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de captura do TJSP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Motor de busca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dos andamentos para o front-end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das tabelas de controle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(Solucionário, 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de NUP após captura via CNJ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Primeiro entregável (D01, Dez/2025)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fluxo legado; webhook dedicado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específico para EPROC/ESAJ — viabiliza captura nativa TJSP sem regressão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 do pipeline (D02, Fev/2026)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por tribunal; fila única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Migrar CapturaServer para a fila única WorkerAndamentos — unifica o pipeline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(D03,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webhook; parametrizar o 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— evita duplicação e reduz manutenção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(D04,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Update no registro; inativação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de registro (não update) — preserva histórico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Onde tratar parceiras (D05,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 worker; na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 camada da API — worker agnóstico; controladores já existem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Parceiras heterogêneas (D06, Mai/2026)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 genérico; por 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específicos por parceira (Solucionário, Botmax) com interface comum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do segredo (D07, Mai/2026)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processo;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— um processo pode ser segredo só em uma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(D07)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back-end/refatoração, sem interface de usuário. Conforme INTAKE/registro do projeto, o design de UX/UI não se aplica.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— enfileiramento unificado RabbitMQ (fila WorkerAndamentos)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parametrizado (sem campos fixos por tribunal)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RF03, RF04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por inativação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RF05, RF06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nas parceiras (controladores por parceira)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RF07, RF08, RF09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códigos de status/resposta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Desmembramento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(priorização por tipo de retorno)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com campos do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com dados do TJSP fixos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(BUG-01)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Alinhamento de campos CNJ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dos campos CNJ ao modelo 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mapeamento (Abr/2026)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perda de histórico em update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por inativação de registro (D04)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pela parametrização do webhook e pelo histórico por inativação foi formalizada nas reuniões de alinhamento de 07/04/2026 e 08/05/2026.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andamentos_arquitetura.svg</w:t>
      </w:r>
      <w:r>
        <w:rPr>
          <w:rFonts w:ascii="Calibri" w:hAnsi="Calibri"/>
          <w:b w:val="0"/>
          <w:i w:val="0"/>
          <w:sz w:val="22"/>
        </w:rPr>
        <w:t xml:space="preserve"> — Arquitetura da solução refatorada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andamentos_ApisParceiras.jpg</w:t>
      </w:r>
      <w:r>
        <w:rPr>
          <w:rFonts w:ascii="Calibri" w:hAnsi="Calibri"/>
          <w:b w:val="0"/>
          <w:i w:val="0"/>
          <w:sz w:val="22"/>
        </w:rPr>
        <w:t xml:space="preserve"> — Integração com APIs parceiras (Solucionário/Botmax)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andamentos_historicoPreservado.jpeg</w:t>
      </w:r>
      <w:r>
        <w:rPr>
          <w:rFonts w:ascii="Calibri" w:hAnsi="Calibri"/>
          <w:b w:val="0"/>
          <w:i w:val="0"/>
          <w:sz w:val="22"/>
        </w:rPr>
        <w:t xml:space="preserve"> — Histórico de movimentações preservado por inativação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andamentos_historicoPreservado1.jpg</w:t>
      </w:r>
      <w:r>
        <w:rPr>
          <w:rFonts w:ascii="Calibri" w:hAnsi="Calibri"/>
          <w:b w:val="0"/>
          <w:i w:val="0"/>
          <w:sz w:val="22"/>
        </w:rPr>
        <w:t xml:space="preserve"> — Histórico preservado — detalhe 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andamentos_historicoPreservado2.jpg</w:t>
      </w:r>
      <w:r>
        <w:rPr>
          <w:rFonts w:ascii="Calibri" w:hAnsi="Calibri"/>
          <w:b w:val="0"/>
          <w:i w:val="0"/>
          <w:sz w:val="22"/>
        </w:rPr>
        <w:t xml:space="preserve"> — Histórico preservado — detalhe 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Registro de Projeto AASP_AndamentosProcessuais, do INTAKE-PROJETO_AASPAP01 e do GDE-AASPAP01-001.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Arquitetura da solução refatorada</w:t>
      </w:r>
    </w:p>
    <w:p>
      <w:r>
        <w:t>[anexo não-imagem: andamentos_arquitetura.svg — ver pasta evidencias/]</w:t>
      </w:r>
    </w:p>
    <w:p>
      <w:r>
        <w:t>Integração com APIs parceiras (Solucionário/Botmax)</w:t>
      </w:r>
    </w:p>
    <w:p>
      <w:r>
        <w:drawing>
          <wp:inline xmlns:a="http://schemas.openxmlformats.org/drawingml/2006/main" xmlns:pic="http://schemas.openxmlformats.org/drawingml/2006/picture">
            <wp:extent cx="5400000" cy="39230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ApisParceira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movimentações preservado por inativação</w:t>
      </w:r>
    </w:p>
    <w:p>
      <w:r>
        <w:drawing>
          <wp:inline xmlns:a="http://schemas.openxmlformats.org/drawingml/2006/main" xmlns:pic="http://schemas.openxmlformats.org/drawingml/2006/picture">
            <wp:extent cx="5400000" cy="4826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26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preservado — detalhe 1</w:t>
      </w:r>
    </w:p>
    <w:p>
      <w:r>
        <w:drawing>
          <wp:inline xmlns:a="http://schemas.openxmlformats.org/drawingml/2006/main" xmlns:pic="http://schemas.openxmlformats.org/drawingml/2006/picture">
            <wp:extent cx="5400000" cy="8261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261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preservado — detalhe 2</w:t>
      </w:r>
    </w:p>
    <w:p>
      <w:r>
        <w:drawing>
          <wp:inline xmlns:a="http://schemas.openxmlformats.org/drawingml/2006/main" xmlns:pic="http://schemas.openxmlformats.org/drawingml/2006/picture">
            <wp:extent cx="5400000" cy="9891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8913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PCP-AASPAP01-001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g"/><Relationship Id="rId14" Type="http://schemas.openxmlformats.org/officeDocument/2006/relationships/image" Target="media/image2.jpeg"/><Relationship Id="rId15" Type="http://schemas.openxmlformats.org/officeDocument/2006/relationships/image" Target="media/image3.jpg"/><Relationship Id="rId16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