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ACOMPANHAMENTO (STATUS REPORT)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RAC-AASPAP01-001   ·   Versão Data   ·   Marcos Correa Fernandez Turnes (AASP)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Junho/2026 — Fase 5 (Implantação)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relatório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Destinatários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/ Sponsor / PO — AASP); Patrocinador interno (Timeware)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Situação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Desenvolvimento concluído (Fases 1–4); o projeto está em implantação em produção (Fase 5), com encerramento previsto para 30/06/2026.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Comentário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Prazo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Atenção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de ~30 dias na Fase 4 por escopo adicional acordado (CR-AASPAP01-002)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Escopo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Em mudança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de homologação EPROC/ESAJ (CR-001) e de tratamento de erros/segredo na Fase 4 (CR-002), ambos acordados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Risco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Sob controle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Comportamento inconsistente das parceiras (R-02) e falhas transitórias do webhook (R-05) tratados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Qualidade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Dentro do esperado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defeitos identificados e 100% contidos antes da implantação; 0 defeitos escapados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Resumo do período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refatoração para o modelo multi-fonte está concluída e validada: fila unificada WorkerAndamentos, webhook de indexação multi-fonte, histórico de movimentações por instância, verificação e desligamento nas APIs parceiras após captura via CNJ e controle de erros e segredo por instância. Os 12 cenários de teste (CT-01 a CT-12) foram 100% aprovados, incluindo a regressão do fluxo EPROC/ESAJ em produção. No período corrente, o foco é a montagem dos pacotes de GMUD e o deploy em produção.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Indicadores do período (destaque):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total realizado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~362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esforço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+9,7% (meta ≤ 20%)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Fases concluídas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 de 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contidos antes da implantação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(100% contidos)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Entregas realizadas no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/ valor para 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unificada WorkerAndamentos (independente do tribunal)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preparado para múltiplas fontes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de indexação multi-fonte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Suporte a novas fontes sem alterar a serialização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instância (inativação)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preservado integralmente, sem sobrescrita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e desligamento nas APIs parceiras pós-CNJ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duplo processamento na migração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erro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>) e segredo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>)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correto sem omissões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Planejado para o próximo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/ 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em produção (pacotes GMUD)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Agendamento com Infraestrutura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formal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 e ata de aceite total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Indicadores do projeto (acompanhamento)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/ 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atual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Tendência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Entregas no prazo (aderência ao cronograma)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85%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~91%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esforço (estimado × realizado)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20%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+9,7% (~362 h vs. ~348 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➡️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escapados para produção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Conformidade GQA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(21/21 itens conformes)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Diário de bordo (eventos e impactos)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 / motivo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Incorporação de Mateus Veloso (suporte ao desenvolvimento)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Reforço de equipe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Abr–Mai/2026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dos campos do modelo no webhook multi-fonte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técnico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Comportamento inconsistente das parceiras nos endpoints de exclusão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Externo (parceiras)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por parceira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(R-02)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Mai–Jun/2026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Fase 4 (Observacao, Segredo, CodigoFonteAPI)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Acordo c/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~30 dias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(CR-002, BUG-02..05)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Atividades de finalização e implantação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curso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Pontos de atenção, riscos e plano de ação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Comportamento heterogêneo das APIs parceiras</w:t>
      </w:r>
      <w:r>
        <w:rPr>
          <w:rFonts w:ascii="Calibri" w:hAnsi="Calibri"/>
          <w:b w:val="0"/>
          <w:i w:val="0"/>
          <w:sz w:val="22"/>
        </w:rPr>
        <w:t xml:space="preserve"> — 🟡 Médio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Ponto:</w:t>
      </w:r>
      <w:r>
        <w:rPr>
          <w:rFonts w:ascii="Calibri" w:hAnsi="Calibri"/>
          <w:b w:val="0"/>
          <w:i w:val="0"/>
          <w:sz w:val="22"/>
        </w:rPr>
        <w:t xml:space="preserve"> as parceiras (Solucionário, Botmax) têm estruturas e endpoints de exclusão diferentes.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Risco:</w:t>
      </w:r>
      <w:r>
        <w:rPr>
          <w:rFonts w:ascii="Calibri" w:hAnsi="Calibri"/>
          <w:b w:val="0"/>
          <w:i w:val="0"/>
          <w:sz w:val="22"/>
        </w:rPr>
        <w:t xml:space="preserve"> retorno inconsistente na verificação/desligamento do NUP.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Ação:</w:t>
      </w:r>
      <w:r>
        <w:rPr>
          <w:rFonts w:ascii="Calibri" w:hAnsi="Calibri"/>
          <w:b w:val="0"/>
          <w:i w:val="0"/>
          <w:sz w:val="22"/>
        </w:rPr>
        <w:t xml:space="preserve"> controladores específicos por parceira com interface comum e registro do retorno (R-02, decisão D06).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Cobertura de segredo de justiça por instância</w:t>
      </w:r>
      <w:r>
        <w:rPr>
          <w:rFonts w:ascii="Calibri" w:hAnsi="Calibri"/>
          <w:b w:val="0"/>
          <w:i w:val="0"/>
          <w:sz w:val="22"/>
        </w:rPr>
        <w:t xml:space="preserve"> — 🟡 Médio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Ponto:</w:t>
      </w:r>
      <w:r>
        <w:rPr>
          <w:rFonts w:ascii="Calibri" w:hAnsi="Calibri"/>
          <w:b w:val="0"/>
          <w:i w:val="0"/>
          <w:sz w:val="22"/>
        </w:rPr>
        <w:t xml:space="preserve"> um processo pode estar em segredo em uma instância e não em outra.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Risco:</w:t>
      </w:r>
      <w:r>
        <w:rPr>
          <w:rFonts w:ascii="Calibri" w:hAnsi="Calibri"/>
          <w:b w:val="0"/>
          <w:i w:val="0"/>
          <w:sz w:val="22"/>
        </w:rPr>
        <w:t xml:space="preserve"> tratamento incorreto se o segredo for controlado por processo.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Ação:</w:t>
      </w:r>
      <w:r>
        <w:rPr>
          <w:rFonts w:ascii="Calibri" w:hAnsi="Calibri"/>
          <w:b w:val="0"/>
          <w:i w:val="0"/>
          <w:sz w:val="22"/>
        </w:rPr>
        <w:t xml:space="preserve"> campo 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 xml:space="preserve"> por instância em </w:t>
      </w:r>
      <w:r>
        <w:rPr>
          <w:rFonts w:ascii="Courier New" w:hAnsi="Courier New"/>
          <w:b w:val="0"/>
          <w:i w:val="0"/>
          <w:color w:val="333333"/>
          <w:sz w:val="20"/>
        </w:rPr>
        <w:t>ProcessoCapturaLogin</w:t>
      </w:r>
      <w:r>
        <w:rPr>
          <w:rFonts w:ascii="Calibri" w:hAnsi="Calibri"/>
          <w:b w:val="0"/>
          <w:i w:val="0"/>
          <w:sz w:val="22"/>
        </w:rPr>
        <w:t xml:space="preserve"> (decisão D07).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Mudanças (change requests)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Abertura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 final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CR-AASPAP01-001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de homologação EPROC/ESAJ e devolutiva aos associados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+~42 h (absorvido na Fase 2)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 (acordada com o cliente)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CR-AASPAP01-002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Fase 4: campos Observacao, Segredo, CodigoFonteAPI e tratamentos de erro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+~8 h · atraso ~30 dias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 (acordada com o cliente)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Decisões necessárias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necessária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 desejado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Confirmação da data de aceite formal total e do go-live em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Cadência de reporte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Periodicidade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marco/fase, com atividades de alinhamento registradas no ClickUp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+ devolutivas ao cliente por fase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acompanhamento (Fase 5) consolidado a partir do Registro de Projeto AASP_AndamentosProcessuais (REG-AASPAP01-001 v1.0, 08/06/2026) e do levantamento de projeto (INTAKE-PROJETO_AASPAP01 v1.0).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Marcos Correa Fernandez Turnes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Marcos Correa Fernandez Turnes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RAC-AASPAP01-001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