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(revisão por pares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(e de </w:t>
      </w:r>
      <w:r>
        <w:rPr>
          <w:rFonts w:ascii="Courier New" w:hAnsi="Courier New"/>
          <w:b w:val="0"/>
          <w:i w:val="0"/>
          <w:color w:val="333333"/>
          <w:sz w:val="20"/>
        </w:rPr>
        <w:t>release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 requer revisão de ao menos um membro da equipe além do autor (ver GCO-AASPAP01-001 §2). O Pull Request correspondente é o registro da revisão. A estratégia de branching segue GitFlow: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(default) +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ourier New" w:hAnsi="Courier New"/>
          <w:b w:val="0"/>
          <w:i w:val="0"/>
          <w:color w:val="333333"/>
          <w:sz w:val="20"/>
        </w:rPr>
        <w:t>feature/&lt;ÉPICO&gt;-NNN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(Dev Sênior) / Mateus Veloso (Dev Suporte, a partir de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 de código; mínimo 1 membro distinto do autor)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CapturaServer da fila EprocTjsp para a fila unificada 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(D02)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 webhook para suporte multi-fonte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na camada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(D05, D06)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erro 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de tribunal fixos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Ordem incorreta no fluxo de desligamento das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ordem das operações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(revisor)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devops_andamentos_pr_detail_1.png</w:t>
      </w:r>
      <w:r>
        <w:rPr>
          <w:rFonts w:ascii="Calibri" w:hAnsi="Calibri"/>
          <w:b w:val="0"/>
          <w:i w:val="0"/>
          <w:sz w:val="22"/>
        </w:rPr>
        <w:t xml:space="preserve"> — Detalhe de PR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devops_andamentos_pr_detail_2.png</w:t>
      </w:r>
      <w:r>
        <w:rPr>
          <w:rFonts w:ascii="Calibri" w:hAnsi="Calibri"/>
          <w:b w:val="0"/>
          <w:i w:val="0"/>
          <w:sz w:val="22"/>
        </w:rPr>
        <w:t xml:space="preserve"> — Detalhe de PR aprovado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