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ADAPTAÇÃO DO PROCESSO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Sim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adaptação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Decisões de adaptação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Adaptação do processo-padrão (PRO-GPC-001) a este projeto, conforme o GUIA-GPC-001.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Eixo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Tipo de produto (com/sem front-end)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UX/UI — apenas back-end/worker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solução é um agente de captura e serviços de retaguarda; não há interface de usuário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Origem dos requisitos e do design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elabora; AASP valida e homologa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 requisitos derivam de problemas operacionais da captura; o cliente valida resultados e aceita as entregas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Porte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 → formalidade 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~586 h estimadas, ~9 meses, dois projetos correlatos (id 213 EPROC e id 256 CNJ)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 papéis (acúmulo)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Sênior acumulou execução de testes nas fases iniciais; GP acumulou responsável por GCO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Analista de Testes dedicado a partir da Fase 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Estimativa e cadência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acompanhada por horas/cards no ClickUp; backlog modelado retroativamente em sprints e story points para evidência e carga no Jira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Concilia a gestão real com a rastreabilidade ágil (ver GEST-AASPCNJ01)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Cadência de entrega ao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marco/fase, com devolutivas ao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Acordada com a AASP; resultados comunicados por fase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stage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adotado — homologação por amostragem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havia ambiente de Elasticsearch dedicado para testes; validação por repetição do mesmo processo na fila sem impacto no índice de produção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Etapas aplicáveis e não aplicáveis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Etapa / artefato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Aplicável?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de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sem front-end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Mapa de teste por história (story)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não usa histórias/SP; testes organizados por fluxo e fase (ver VV-AASPCNJ01-001)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 (arquitetura)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PCP-AASPCNJ01-001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ITP-AASPCNJ01-001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e execução de V&amp;V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VV-AASPCNJ01-001 e REL-VV-AASPCNJ01-001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Gerência de Configuração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GCO-AASPCNJ01-001 (GitFlow + GMUD)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decisões (GDE)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Aquisição (AQU)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há subcontratação de desenvolvimento; APIs/infra de terceiros são insumos de serviço, tratados em ITP/PCP e Riscos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Pontos de controle obrigatórios (não adaptáveis)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Requisitos especificados e validados (REQ-AASPCNJ01-001)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Plano de Projeto aprovado pelo cliente (baseline) — a registrar no encerramento (projeto em execução)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Definição de Pronto aplicada (critérios de aceite CA01–CA07, ver VV)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Verificação e validação realizadas (VV / REL-VV)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Encerramento formal com aceite — Onda 3 (encerramento previsto 30/06/2026)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dois pontos em aberto referem-se a marcos de encerramento e serão registrados ao final do projeto (TAE-AASPCNJ01-001 e a ata de aceite), conforme o estágio atual.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adaptação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Sim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