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CHANGE REQUEST — PAUSA E RETOMADA DA CAPTURA DE 2ª INSTÂNCIA EPROC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CR-AASPCNJ01-001   ·   Versão Data   ·   Mai/2026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solicitação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Solicitante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Interno (Timeware), acordado com o cliente (AASP)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Descrição da mudança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Pausar o desenvolvimento da captura de </w:t>
      </w:r>
      <w:r>
        <w:rPr>
          <w:rFonts w:ascii="Calibri" w:hAnsi="Calibri"/>
          <w:b/>
          <w:i w:val="0"/>
          <w:sz w:val="22"/>
        </w:rPr>
        <w:t>2ª instância</w:t>
      </w:r>
      <w:r>
        <w:rPr>
          <w:rFonts w:ascii="Calibri" w:hAnsi="Calibri"/>
          <w:b w:val="0"/>
          <w:i w:val="0"/>
          <w:sz w:val="22"/>
        </w:rPr>
        <w:t xml:space="preserve"> no EPROC (card 4462), realocando os recursos para a conclusão da integração com a API DataJud/CNJ, com retomada planejada após a Fase 5.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Justificativa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integração CNJ tem maior impacto financeiro e operacional (cobertura universal e economia de ~R$ 180 mil/ano). Concentrar os recursos disponíveis na sua entrega maximiza o retorno no curto prazo; a 2ª instância do EPROC é retomada em seguida, sem perda de escopo.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Análise de impacto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2ª instância EPROC adiada (não removida); retomada após a Fase 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Retomada iniciada em jun/2026 (Fase 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/ custo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Neutro — recursos realocados, sem custo adicional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 — captura de 1ª instância e fontes de fallback permanecem operantes no período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Tipo de tratamento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[x] </w:t>
      </w:r>
      <w:r>
        <w:rPr>
          <w:rFonts w:ascii="Calibri" w:hAnsi="Calibri"/>
          <w:b/>
          <w:i w:val="0"/>
          <w:sz w:val="22"/>
        </w:rPr>
        <w:t>Troca de prioridade</w:t>
      </w:r>
      <w:r>
        <w:rPr>
          <w:rFonts w:ascii="Calibri" w:hAnsi="Calibri"/>
          <w:b w:val="0"/>
          <w:i w:val="0"/>
          <w:sz w:val="22"/>
        </w:rPr>
        <w:t xml:space="preserve"> — item realocado no tempo, sem impacto financeiro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Aditivo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Crédito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 (acordada com o cliente)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/ Marcos Correa Fernandez Turnes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registrado no ClickUp; GDE-AASPCNJ01-001 (D06)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Reflexo no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card 4462 foi pausado e a retomada da captura de 2ª instância iniciou em jun/2026 (Fase 6). A mudança está refletida no cronograma (PLA-AASPCNJ01-001 §5) e no diário de bordo do acompanhamento (RAC-AASPCNJ01-001 §6).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 formalizando a pausa/retomada da 2ª instância EPROC, a partir do Registro de Projeto AASP_CNJ v1.0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Mai/2026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Mai/2026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CR-AASPCNJ01-001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