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GCO-AASPGOV01-001   ·   Versão 1.0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 / Responsável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o gerenciamento de configuração do projeto AASP_Automacao-Governanca: itens de configuração (ICs), estratégia de controle de versão, baselines estabelecidas, gestão de mudanças e auditoria de configuração. Conforme ADAP-AASPGOV01-001, o papel de responsável por GCO foi acumulado pelo Gerente de Projeto (Abraão Oliveira), dada a maturidade do controle de versão via Azure DevOps com GitFlow e o porte do projeto. O controle de configuração abrange código-fonte, configuração, artefatos de implantação e documentação de gestão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Estratégia de gerência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controle de versão Git e pipeline CI/CD para validação de PRs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de branching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GitFlow: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bugfix/*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integradas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promovida 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nas baselines de publicação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Convenção de tags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Versionamento semântico: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(desenvolvimento concluído),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v1.0.0-rc.1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(homologação aprovada),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(produção)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de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Merge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exige revisão e aprovação de no mínimo 1 membro da equipe além do autor (conforme REV-AASPGOV01-001)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segredos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mantido fora do repositório; credenciais de acesso às APIs Sensr e Jira armazenadas de forma segura no ambiente Azure, sem exposição em logs de execução (RNF05)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Artefatos de gestão (planilha IC-06) versionados no repositório do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de configuração (ICs)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 / Localização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SensrJiraSync.Core — contratos, modelos de domínio, mapeadores e configurações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SensrJiraSync.Infrastructure — serviços de integração (SensrService, JiraService, SyncService, HtmlHelper)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(.NET 8)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SensrJiraSync.App — ponto de entrada, composição de DI e bootstrap da execução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— repositório SensrJiraSync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 de 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appsettings.json — configuração de desenvolvedores, projetos e credenciais de acesso às APIs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Gerenciado fora do repositório; fornecido ao Azure de forma segura (RNF05)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implantação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Executável .NET 8 auto-contido publicado para o Azure Scheduler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— ambiente de hospedagem do Scheduled Job (baseline BL-PROD-001)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Artefato de gestão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do projeto — backlog, tarefas e acompanhamento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GEST-AASPGOV01_Planilha-de-Gestao-do-Projeto.xlsx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BL-DEV-001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desenvolvimento concluído — fim da Fase 3, antes do início da 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BL-HOM-001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homologação aprovada — após correção dos BUG-01 a BUG-05 e aprovação dos CT-01 a CT-05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v1.0.0-rc.1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IC-03, IC-04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BL-PROD-001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de produção — encerramento formal do projeto em 02/06/2026, artefato implantado no Azure Scheduler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IC-02, IC-03, IC-04, IC-05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Gestão de mudanças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de escopo e de arquitetura foram formalizadas por alinhamento entre o time durante as reuniões registradas nas atas ATA-AASPGOV01-001 a ATA-AASPGOV01-003. Decisões técnicas com impacto arquitetural foram registradas no GDE-AASPGOV01-001 (D01–D07).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houve Change Request durante a execução do projeto — o escopo permaneceu estável desde o Kickoff até o encerramento (02/06/2026).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implantação em produção seguiu o seguinte rito: (1) validação do executável publicado em ambiente de homologação contra as APIs Sensr e Jira reais; (2) geração da baseline BL-PROD-001 com tag </w:t>
      </w:r>
      <w:r>
        <w:rPr>
          <w:rFonts w:ascii="Courier New" w:hAnsi="Courier New"/>
          <w:b w:val="0"/>
          <w:i w:val="0"/>
          <w:color w:val="333333"/>
          <w:sz w:val="20"/>
        </w:rPr>
        <w:t>v1.0.0</w:t>
      </w:r>
      <w:r>
        <w:rPr>
          <w:rFonts w:ascii="Calibri" w:hAnsi="Calibri"/>
          <w:b w:val="0"/>
          <w:i w:val="0"/>
          <w:sz w:val="22"/>
        </w:rPr>
        <w:t>; (3) substituição manual do artefato anterior no Azure Scheduler; (4) verificação do agendamento e da execução bem-sucedida pós-implantação; (5) emissão do TAE-AASPGOV01-001 pelo Sponsor em 02/06/2026.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Auditoria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ICs versionados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IC-02 e IC-03 nos repositórios SensrJiraSync; histórico de commits rastreável por branch e PR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appsettings.json fora do repositório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IC-04 gerenciado externamente ao Git; ausente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.gitignore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confirmado; credenciais não expostas no repositório (RNF05)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de publicação identificadas por tag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BL-DEV-001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v0.9.0</w:t>
            </w:r>
            <w:r>
              <w:rPr>
                <w:rFonts w:ascii="Calibri" w:hAnsi="Calibri"/>
                <w:b w:val="0"/>
                <w:i w:val="0"/>
                <w:sz w:val="20"/>
              </w:rPr>
              <w:t>), BL-HOM-001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v1.0.0-rc.1</w:t>
            </w:r>
            <w:r>
              <w:rPr>
                <w:rFonts w:ascii="Calibri" w:hAnsi="Calibri"/>
                <w:b w:val="0"/>
                <w:i w:val="0"/>
                <w:sz w:val="20"/>
              </w:rPr>
              <w:t>) e BL-PROD-001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>) versionadas no Azure 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Tokens e segredos não expostos em logs de 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Tokens Sensr (JWT) e Jira (Basic Auth) armazenados fora do código-fonte; logging estruturado não registra tokens ou credenciais (RNF05)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Merges revisados antes da integração em develop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PRs de feature/</w:t>
            </w:r>
            <w:r>
              <w:rPr>
                <w:rFonts w:ascii="Calibri" w:hAnsi="Calibri"/>
                <w:b w:val="0"/>
                <w:i/>
                <w:sz w:val="20"/>
              </w:rPr>
              <w:t xml:space="preserve"> e bugfix/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aprovados por no mínimo 1 revisor além do autor antes do merge (REV-AASPGOV01-001)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(IC-06)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GEST-AASPGOV01_Planilha-de-Gestao-do-Projeto.xlsx versionada no repositório do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gerência de configuração consolidado a partir do Registro de Projeto AASP_Automacao-Governanca v2.0.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GCO-AASPGOV01-001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