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PCP-AASPGOV01-001   ·   Versão 1.0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 (AASPGOV01)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(Arquiteto / Tech Lead)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SensrJiraSync é um serviço de sincronização </w:t>
      </w:r>
      <w:r>
        <w:rPr>
          <w:rFonts w:ascii="Calibri" w:hAnsi="Calibri"/>
          <w:b/>
          <w:i w:val="0"/>
          <w:sz w:val="22"/>
        </w:rPr>
        <w:t>unidirecional</w:t>
      </w:r>
      <w:r>
        <w:rPr>
          <w:rFonts w:ascii="Calibri" w:hAnsi="Calibri"/>
          <w:b w:val="0"/>
          <w:i w:val="0"/>
          <w:sz w:val="22"/>
        </w:rPr>
        <w:t xml:space="preserve"> (Sensr → Jira) desenvolvido em .NET 8, executado como processo agendado no Azure Scheduler. A cada execução, o serviço realiza a migração e sincronização de atividades de todos os desenvolvedores configurados, sem necessidade de intervenção manual. A solução atende aos requisitos de migração automatizada com fidelidade (RF01–RF09), sincronização incremental de status (RF05) e idempotência por identificação via prefixo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no campo summary do Jira (RNF01), garantindo que execuções repetidas não gerem duplicatas. A resiliência por desenvolvedor (RNF02) assegura que uma falha de autenticação ou processamento de um desenvolvedor não interrompa a execução dos demais. A separação em três camadas (RNF04) sustenta a manutenibilidade e a evolução futura do serviço, enquanto as credenciais gerenciadas externamente via </w:t>
      </w:r>
      <w:r>
        <w:rPr>
          <w:rFonts w:ascii="Courier New" w:hAnsi="Courier New"/>
          <w:b w:val="0"/>
          <w:i w:val="0"/>
          <w:color w:val="333333"/>
          <w:sz w:val="20"/>
        </w:rPr>
        <w:t>appsettings.json</w:t>
      </w:r>
      <w:r>
        <w:rPr>
          <w:rFonts w:ascii="Calibri" w:hAnsi="Calibri"/>
          <w:b w:val="0"/>
          <w:i w:val="0"/>
          <w:sz w:val="22"/>
        </w:rPr>
        <w:t xml:space="preserve"> (RNF05) atendem aos requisitos de segurança. A compatibilidade com .NET 8 e Azure Scheduler (RNF06) garante a operação no ambiente de nuvem do cliente.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Design técnico (arquitetura)</w:t>
      </w:r>
    </w:p>
    <w:p>
      <w:pPr>
        <w:pStyle w:val="Heading2"/>
        <w:keepNext/>
        <w:keepLines/>
      </w:pPr>
      <w:r>
        <w:t>2.1. Arquitetura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solução é estruturada em três projetos .NET com separação clara de responsabilidades: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Componentes Principais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Dependências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SensrJiraSync.Core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Contratos, modelos de domínio e mapeadores. Sem dependências externas.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AppSettings, DeveloperConfig, ProjectConfig, SensrModels, JiraModels, StatusMapper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SensrJiraSync.Infrastructure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dos serviços de integração e helpers de transformação.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SensrService, JiraService, SyncService, HtmlHelper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Core, HtmlAgilityPack, Newtonsoft.Json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SensrJiraSync.App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Ponto de entrada, configuração e composição de dependências via injeção de dependências.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Program.cs, appsettings.json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Core, Infrastructure, Microsoft.Extensions.*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Fluxo de sincronização (por execução do Azure Scheduler):</w:t>
      </w:r>
    </w:p>
    <w:p>
      <w:pPr>
        <w:pStyle w:val="ListNumber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SyncService</w:t>
      </w:r>
      <w:r>
        <w:rPr>
          <w:rFonts w:ascii="Calibri" w:hAnsi="Calibri"/>
          <w:b w:val="0"/>
          <w:i w:val="0"/>
          <w:sz w:val="22"/>
        </w:rPr>
        <w:t xml:space="preserve"> percorre os desenvolvedores configurados e, para cada um, autentica-se no Sensr via </w:t>
      </w:r>
      <w:r>
        <w:rPr>
          <w:rFonts w:ascii="Courier New" w:hAnsi="Courier New"/>
          <w:b w:val="0"/>
          <w:i w:val="0"/>
          <w:color w:val="333333"/>
          <w:sz w:val="20"/>
        </w:rPr>
        <w:t>SensrService.LoginAsync</w:t>
      </w:r>
      <w:r>
        <w:rPr>
          <w:rFonts w:ascii="Calibri" w:hAnsi="Calibri"/>
          <w:b w:val="0"/>
          <w:i w:val="0"/>
          <w:sz w:val="22"/>
        </w:rPr>
        <w:t>, obtendo token JWT individual.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Para cada projeto do desenvolvedor, busca a lista de atividades via API Sensr (</w:t>
      </w:r>
      <w:r>
        <w:rPr>
          <w:rFonts w:ascii="Courier New" w:hAnsi="Courier New"/>
          <w:b w:val="0"/>
          <w:i w:val="0"/>
          <w:color w:val="333333"/>
          <w:sz w:val="20"/>
        </w:rPr>
        <w:t>getactivitiesbyprojectstatus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Resolve ou cria o Epic correspondente no Jira pelo nome do projeto via </w:t>
      </w:r>
      <w:r>
        <w:rPr>
          <w:rFonts w:ascii="Courier New" w:hAnsi="Courier New"/>
          <w:b w:val="0"/>
          <w:i w:val="0"/>
          <w:color w:val="333333"/>
          <w:sz w:val="20"/>
        </w:rPr>
        <w:t>JiraService.GetOrCreateEpicAsync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Busca as Tasks existentes sob o Epic, indexadas pelo prefixo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no summary via </w:t>
      </w:r>
      <w:r>
        <w:rPr>
          <w:rFonts w:ascii="Courier New" w:hAnsi="Courier New"/>
          <w:b w:val="0"/>
          <w:i w:val="0"/>
          <w:color w:val="333333"/>
          <w:sz w:val="20"/>
        </w:rPr>
        <w:t>JiraService.GetIssuesByEpicAsync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Para cada atividade: se 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não existe na listagem do Jira → cria Task completa com descrição, labels sanitizadas, status, histórico convertido como comentários e subtarefas. Se já existe → verifica divergência de status e aplica transição via </w:t>
      </w:r>
      <w:r>
        <w:rPr>
          <w:rFonts w:ascii="Courier New" w:hAnsi="Courier New"/>
          <w:b w:val="0"/>
          <w:i w:val="0"/>
          <w:color w:val="333333"/>
          <w:sz w:val="20"/>
        </w:rPr>
        <w:t>JiraService.TransitionAsync</w:t>
      </w:r>
      <w:r>
        <w:rPr>
          <w:rFonts w:ascii="Calibri" w:hAnsi="Calibri"/>
          <w:b w:val="0"/>
          <w:i w:val="0"/>
          <w:sz w:val="22"/>
        </w:rPr>
        <w:t xml:space="preserve"> somente se necessário.</w:t>
      </w:r>
    </w:p>
    <w:p>
      <w:pPr>
        <w:pStyle w:val="Heading2"/>
        <w:keepNext/>
        <w:keepLines/>
      </w:pPr>
      <w:r>
        <w:t>2.2. Modelo de dados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Mapeamento de entidades entre as plataformas Sensr e Jira: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Entidade Sensr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Entidade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Observações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name_project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Um Epic por projeto, reutilizado em execuções subsequentes via busca por nome.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Atividade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activity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Task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Summary: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 Nome</w:t>
            </w:r>
            <w:r>
              <w:rPr>
                <w:rFonts w:ascii="Calibri" w:hAnsi="Calibri"/>
                <w:b w:val="0"/>
                <w:i w:val="0"/>
                <w:sz w:val="20"/>
              </w:rPr>
              <w:t>. Descrição composta por texto, progresso, tempo gasto e responsáveis.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Sub-atividade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Subtask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Vinculada à Task pai. Summary: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 Nome</w:t>
            </w:r>
            <w:r>
              <w:rPr>
                <w:rFonts w:ascii="Calibri" w:hAnsi="Calibri"/>
                <w:b w:val="0"/>
                <w:i w:val="0"/>
                <w:sz w:val="20"/>
              </w:rPr>
              <w:t>. Descrição convertida de HTML para texto plano via HtmlHelper.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description_history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Comentários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 entrada do histórico HTML convertida individualmente e adicionada como comentário no Jira.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Labels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Sanitizadas: espaços e barras substituídos por underscore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JiraService.SanitizeLabel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Sensr →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Transição de 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 → To Do · DOING → In Progress · VALIDATION → To Test · STOPPED → Blocked · DONE → Done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2.3. Integrações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 / Serviço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 na Solução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Sensr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externa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dos dados. Fornece atividades, detalhes, sub-atividades e histórico de descrição.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Jira v3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externa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Destino. Recebe criação de Epics, Tasks, Subtasks, transições de status e comentários.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Scheduler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Serviço de nuvem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Agendamento e execução periódica do serviço conforme configuração do cliente.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HtmlAgilityPack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NuGet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Parsing e transformação de HTML dos campos de descrição e histórico do Sensr.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Newtonsoft.Json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NuGet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Serialização e desserialização JSON nas requisições e respostas das APIs.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Microsoft.Extensions.*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Framework .NET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Injeção de dependências, configuração via IConfiguration e logging estruturado.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 / CI/CD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do código-fonte e pipeline de publicação no Azure Scheduler.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Detalhamento de contratos e endpoints em ITP-AASPGOV01-001.</w:t>
      </w:r>
    </w:p>
    <w:p>
      <w:pPr>
        <w:pStyle w:val="Heading2"/>
        <w:keepNext/>
        <w:keepLines/>
      </w:pPr>
      <w:r>
        <w:t>2.4. Decisões de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 consideradas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Escolha e justificativa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RAD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Estruturar a solução em três camadas: Core, Infrastructure e App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Monolito em projeto único; (b) 3 camadas separadas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camadas — separar contratos e modelos da implementação permite substituir serviços sem impactar a lógica de domínio e facilita evolução futura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por desenvolvedor no Sensr (token JWT individual)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Service account única; (b) Token por desenvolvedor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desenvolvedor — a API do Sensr retorna atividades filtradas por usuário; autenticação compartilhada retornaria dados sem filtragem adequada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Identificar cards migrados pelo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 do Jira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Campo customizado; (b) Banco de mapeamento externo; (c) Prefixo no summary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Prefixo no summary — simples, sem dependência de campos personalizados; permite lookup eficiente sem persistir estado entre execuções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Utilizar ADF (Atlassian Document Format) para campos de texto no Jira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Texto plano; (b) HTML; (c) ADF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ADF — a API Jira v3 exige ADF; envio de texto plano ou HTML resulta em erro. ADF é JSON estruturado representando documentos como árvore de nós tipados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GDE-AASPGOV01-001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Converter HTML do Sensr para texto plano antes de enviar ao Jira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Enviar HTML direto; (b) Conversão para texto plano via HtmlHelper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Conversão — enviar HTML diretamente resultaria em tags visíveis para o usuário; conversão preserva o conteúdo sem poluição de marcação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 limitada a status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Atualização completa de todos os campos; (b) Apenas status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Apenas status — atualizar descrição e subtarefas a cada execução criaria risco de sobrescrever edições manuais feitas no Jira durante a transição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Executar o serviço como Azure Scheduled Job stateless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Worker persistente; (b) Stateless agendado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Stateless — persistir estado adicionaria complexidade desnecessária; a idempotência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elimina a necessidade de rastrear o que já foi migrado entre execuções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Design de produto (UX/UI) — não aplicável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Projeto de back-end/serviço, sem interface de usuário. Conforme ADAP-AASPGOV01-001, o design de UX/UI não se aplica a este projeto. O único ponto de configuração exposto ao operador é o arquivo </w:t>
      </w:r>
      <w:r>
        <w:rPr>
          <w:rFonts w:ascii="Courier New" w:hAnsi="Courier New"/>
          <w:b w:val="0"/>
          <w:i w:val="0"/>
          <w:color w:val="333333"/>
          <w:sz w:val="20"/>
        </w:rPr>
        <w:t>appsettings.json</w:t>
      </w:r>
      <w:r>
        <w:rPr>
          <w:rFonts w:ascii="Calibri" w:hAnsi="Calibri"/>
          <w:b w:val="0"/>
          <w:i w:val="0"/>
          <w:sz w:val="22"/>
        </w:rPr>
        <w:t>, cuja estrutura está descrita em RF10 e na seção §2.1 deste documento.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requisito →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 — Autenticação Sensr por desenvolvedor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SensrService.LoginAsync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JWT individual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DeveloperConfig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 — Criar ou reutilizar Epic por nome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JiraService.GetOrCreateEpicAsync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RF03 — Criar Task com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JiraService.CreateTaskAsync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SyncService.ExtractSensrId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RF04 — Criar Subtask vinculada à Task pai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JiraService.CreateSubtaskAsync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 — Sincronizar status incrementalmente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SyncService.UpdateIssueIfNeededAsync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JiraService.TransitionAsync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RF06 — Migrar histórico de descrição como comentários individuais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HtmlHelper.ParseDescriptionHistory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JiraService.AddCommentAsync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 — Converter HTML do Sensr para ADF no Jira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HtmlHelper.ToPlainText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JiraService.BuildAdfDocument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RF08 — Mapear status entre as plataformas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StatusMapper.MapSensrToJira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 — Sanitizar labels antes de enviar ao Jira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JiraService.SanitizeLabel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 — Configuração de desenvolvedores e projetos via appsettings.json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AppSettings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DeveloperConfig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ProjectConfig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RF11 — Executável compatível com Azure Scheduler (exit code 0/1)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Program.cs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bootstrap com saída determinística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RNF01 — Idempotência (sem duplicatas em execuções repetidas)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SyncService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verificação por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antes de criar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RNF02 — Confiabilidade por desenvolvedor (falha isolada)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SyncService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bloco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try/catch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DeveloperConfig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RNF03 — Log estruturado em todos os serviços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Microsoft.Extensions.Logging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SensrService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JiraService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SyncService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RNF04 — Separação em camadas (manutenibilidade)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 de projetos Core / Infrastructure / App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RNF05 — Credenciais fora do código-fonte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appsettings.json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gerenciado externamente; tokens não registrados em log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RNF06 — Compatibilidade .NET 8 e Azure Scheduler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TargetFramework net8.0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todos os projetos; publicação como executável auto-contido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Matriz completa de rastreabilidade em RASTR-AASPGOV01-001.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do design (PCP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avaliado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encontrado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 em 3 camadas (Core / Infrastructure / App)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(Tech Lead / Arquiteto)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problema identificado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em 16/04/2026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Fluxo de sincronização — lógica criar vs. atualizar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+ Raony Chagas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 de sobrescrever edições manuais realizadas no Jira durante a transição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Mitigado pela D06 — sincronização incremental limitada a status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Estratégia de identificação por 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 de extração robusta do identificador Sensr no summary do Jira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Implementação de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SyncService.ExtractSensrId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cobertura de testes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Conversão HTML → ADF para campos de texto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+ Raony Chagas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Jira v3 rejeita texto plano e HTML direto; risco de conteúdo ilegível para o usuário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Decisão D04 — uso de ADF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JiraService.BuildAdfDocument</w:t>
            </w:r>
            <w:r>
              <w:rPr>
                <w:rFonts w:ascii="Calibri" w:hAnsi="Calibri"/>
                <w:b w:val="0"/>
                <w:i w:val="0"/>
                <w:sz w:val="20"/>
              </w:rPr>
              <w:t>; formalizada em GDE-AASPGOV01-001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de credenciais por desenvolvedor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 de exposição de tokens em logs de execução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Mitigado por RNF05 — credenciais fora do código, sem registro de tokens nos logs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design da solução foi avaliado e formalmente aprovado pelo Tech Lead / Arquiteto </w:t>
      </w:r>
      <w:r>
        <w:rPr>
          <w:rFonts w:ascii="Calibri" w:hAnsi="Calibri"/>
          <w:b/>
          <w:i w:val="0"/>
          <w:sz w:val="22"/>
        </w:rPr>
        <w:t>Cezar Hiraki</w:t>
      </w:r>
      <w:r>
        <w:rPr>
          <w:rFonts w:ascii="Calibri" w:hAnsi="Calibri"/>
          <w:b w:val="0"/>
          <w:i w:val="0"/>
          <w:sz w:val="22"/>
        </w:rPr>
        <w:t xml:space="preserve"> em </w:t>
      </w:r>
      <w:r>
        <w:rPr>
          <w:rFonts w:ascii="Calibri" w:hAnsi="Calibri"/>
          <w:b/>
          <w:i w:val="0"/>
          <w:sz w:val="22"/>
        </w:rPr>
        <w:t>16/04/2026</w:t>
      </w:r>
      <w:r>
        <w:rPr>
          <w:rFonts w:ascii="Calibri" w:hAnsi="Calibri"/>
          <w:b w:val="0"/>
          <w:i w:val="0"/>
          <w:sz w:val="22"/>
        </w:rPr>
        <w:t>, ao final da Fase 1 (Arquitetura), antes do início do desenvolvimento. A aprovação constitui evidência do atendimento ao critério PCP2 do processo de Desenvolvimento e Manutenção de Software (DES) do MR-MPS-SW:2024 Nível C.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consolidado a partir do Registro de Projeto AASP_Automacao-Governanca v2.0.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PCP-AASPGOV01-001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