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RAC-AASPGOV01-001   ·   25/05/2026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 e 2 · 27/04/2026 – 22/05/2026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dos serviços concluído (Sprint 1 + Sprint 2). Projeto entra na Sprint 3 — Homologação e Hardening — com encerramento previsto para 02/06/2026, dentro do prazo do TAP.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No 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 e 2 entregues nas datas planejadas; Sprint 3 inicia em 25/05 conforme cronograma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Estável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 RF + 6 RNF mantidos desde o Kickoff; sem CR aprovado até o momento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 riscos identificados, todos mitigados (R-04 e R-06 com mitigações já implementadas no design)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do StatusMapper, HtmlHelper e SanitizeLabel aprovados; homologação E2E inicia na Sprint 3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/>
          <w:color w:val="1A5276"/>
          <w:sz w:val="22"/>
        </w:rPr>
        <w:t>Convenção de cores:</w:t>
      </w:r>
      <w:r>
        <w:rPr>
          <w:rFonts w:ascii="Calibri" w:hAnsi="Calibri"/>
          <w:b w:val="0"/>
          <w:i w:val="0"/>
          <w:color w:val="1A5276"/>
          <w:sz w:val="22"/>
        </w:rPr>
        <w:t xml:space="preserve"> 🟢 sem ação necessária · 🟡 sob acompanhamento, ação em curso · 🔴 exige decisão/atenção do cliente.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Nas Sprints 1 e 2 (27/04 a 22/05), o time entregou o núcleo do serviço SensrJiraSync: criação automática de Epics, Tasks e Subtasks no Jira (Sprint 1), sincronização incremental de status, conversão HTML→ADF, sanitização de labels, mapeamento de status (Sprint 1) e fluxo completo de atualização com idempotência (Sprint 2). O serviço já é executável e produz cards válidos no workspace de teste da AASP. A Sprint 3 entra agora com foco em homologação contra ambiente real e hardening final.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trabalhadas no 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128 h (Sprint 1: 64 h + Sprint 2: 64 h)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 entregues no 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 SP (Sprint 1: 16 SP + Sprint 2: 16 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Avanço do projeto (acumulado)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47 SP de 59 SP — </w:t>
            </w:r>
            <w:r>
              <w:rPr>
                <w:rFonts w:ascii="Calibri" w:hAnsi="Calibri"/>
                <w:b/>
                <w:i w:val="0"/>
                <w:sz w:val="20"/>
              </w:rPr>
              <w:t>80%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concluído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de 4 (Sprint 0, 1, 2)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automática de Epics no Jira (RF-02)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Hierarquia de projetos preservada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Criação de Tasks com summary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 Nome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(RF-03)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única por atividade migrada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de Subtasks vinculadas à Task pai (RF-04)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Sub-hierarquia preservada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Conversão HTML → ADF via HtmlHelper + BuildAdfDocument (RF-07)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Conteúdo legível no Jira sem tags visíveis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dos 5 status Sensr → Jira (RF-08)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consistente entre as plataformas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Sanitização de labels (RF-09)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Labels válidos no Jira sem erro de criação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incremental de status (RF-05)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alterado no Sensr reflete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histórico como comentários (RF-06)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temporal preservada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Executável Azure Scheduled Job (RF-11)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Pronto para implantação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Idempotência via verificação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duplicatas em execuções repetidas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por desenvolvedor (RNF-02)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1 dev não interrompe demais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estruturado (RNF-03)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execução habilitada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Sprint 3 —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Foco: validação E2E em ambiente real Sensr/Jira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dos critérios CA01–CA07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25/05 – 29/05/2026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(QA) entra a partir de 21/05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validação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Sponsor + QA + Tech Lead — ATA-AASPGOV01-003 prevista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e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TAE-AASPGOV01-001 + ATA-AASPGOV01-004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prazo (M1)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(todas as sprints no prazo)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 (M2)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+6,7% acumulado (Sprints 0–2: 188 h vs 176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 (M3)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12 SP/sprint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15,7 SP/sprint (média das 3 sprints concluídas)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entregues × planejados (M4)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(47/47 SP)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Densidade de defeitos (M5)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 def / 4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(homologação ainda não iniciou)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(dias)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da API Jira v3 exigiu investigação adicional sobre o formato ADF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(Atlassian)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+4 h (Sprint 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— decisão D04 registrada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Decisão D04 formalizada — uso de ADF para campos de texto rico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(GDE-AASPGOV01-001 / RAD detalhado)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do HtmlHelper concluída — necessária para D05 (conversão HTML)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Início da homologação em ambiente real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Sprint 3 vai testar pela primeira vez o fluxo completo contra APIs reais do Sensr e do Jira.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identificação de incompatibilidades não previstas (campos opcionais, status indisponíveis no workspace, paginação em projetos grandes).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Caroline Sousa (QA) iniciou em 21/05 com foco em rodadas de homologação em workspace de teste; Tech Lead em standby para correções rápidas; janela de 1 semana até a validação formal em 29/05.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Identificação dos cards por `#ID` no summary</w:t>
      </w:r>
      <w:r>
        <w:rPr>
          <w:rFonts w:ascii="Calibri" w:hAnsi="Calibri"/>
          <w:b w:val="0"/>
          <w:i w:val="0"/>
          <w:sz w:val="22"/>
        </w:rPr>
        <w:t xml:space="preserve"> — 🟢 Baixo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estratégia depende do summary começar com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— cards criados manualmente no Jira não terão esse prefixo.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cards criados fora do serviço não são reconhecidos como migrados (R-01).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mitigado pela decisão D03 e pelos testes de idempotência (CT-02); orientação aos usuários para não criar cards manualmente nos projetos migrados durante o período de transição.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Dias em aberto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CR aberto até o momento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pela 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janela de homologação em ambiente real (workspace de teste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da publicação no Azure Scheduled Job após validação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 / fase do cronograma (Kickoff, fim de Sprint 2, validação de homologação, aceite final)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 obrigatórios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(Timeware) + Sponsor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 opcionais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(Timeware); QA (Timeware) na fase de homologação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alinhamento (videoconferência) + ata registrada (ATA-AASPGOV01-XXX)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do ponto de controle Sprints 1+2 do projeto AASP_Automacao-Governanca, seguindo TPL-GPR-005 v2.1.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25/05/2026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25/05/2026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RAC-AASPGOV01-001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