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MATRIZ DE RASTREABILIDADE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RASTR-AASPGOV01-001   ·   Versão 1.1   ·   02/06/2026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RASTR-AASPGOV01-001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Matriz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rastreabilidade bidirecional é mantida nesta matriz e refletida no Jira via épico → história → tarefa → caso de teste. Cada linha permite navegar da </w:t>
      </w:r>
      <w:r>
        <w:rPr>
          <w:rFonts w:ascii="Calibri" w:hAnsi="Calibri"/>
          <w:b/>
          <w:i w:val="0"/>
          <w:sz w:val="22"/>
        </w:rPr>
        <w:t>necessidade do cliente</w:t>
      </w:r>
      <w:r>
        <w:rPr>
          <w:rFonts w:ascii="Calibri" w:hAnsi="Calibri"/>
          <w:b w:val="0"/>
          <w:i w:val="0"/>
          <w:sz w:val="22"/>
        </w:rPr>
        <w:t xml:space="preserve"> até o </w:t>
      </w:r>
      <w:r>
        <w:rPr>
          <w:rFonts w:ascii="Calibri" w:hAnsi="Calibri"/>
          <w:b/>
          <w:i w:val="0"/>
          <w:sz w:val="22"/>
        </w:rPr>
        <w:t>caso de teste</w:t>
      </w:r>
      <w:r>
        <w:rPr>
          <w:rFonts w:ascii="Calibri" w:hAnsi="Calibri"/>
          <w:b w:val="0"/>
          <w:i w:val="0"/>
          <w:sz w:val="22"/>
        </w:rPr>
        <w:t xml:space="preserve"> que valida o atendimento.</w:t>
      </w:r>
    </w:p>
    <w:p>
      <w:pPr>
        <w:pStyle w:val="Heading2"/>
        <w:keepNext/>
        <w:keepLines/>
      </w:pPr>
      <w:r>
        <w:t>Requisitos funcionais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113"/>
        <w:gridCol w:w="1113"/>
        <w:gridCol w:w="1113"/>
        <w:gridCol w:w="1113"/>
        <w:gridCol w:w="1113"/>
        <w:gridCol w:w="1113"/>
        <w:gridCol w:w="1113"/>
        <w:gridCol w:w="1113"/>
      </w:tblGrid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Necessidade do cliente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(ID)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design (PCP)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no backlog/Jira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Caso de teste (CT)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aceite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Autenticar no Sensr por desenvolvedor para obter atividades filtradas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SensrService.LoginAsync — JWT individual por DeveloperConfig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EPIC-001 / STORY-AASPGOV-001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0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CA07 (Resiliência por desenvolvedor)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Preservar a hierarquia de projetos na migração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RF-02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JiraService.GetOrCreateEpicAsync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EPIC-002 / STORY-AASPGOV-002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CT-01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CA02 (Fidelidade da hierarquia)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Migrar atividades preservando todos os campos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JiraService.CreateTaskAsync + SyncService.ExtractSensrId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EPIC-002 / STORY-AASPGOV-003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CT-01, CT-09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CA02, CA03 (Hierarquia e conteúdo)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Preservar relação atividade → sub-atividade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JiraService.CreateSubtaskAsync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EPIC-002 / STORY-AASPGOV-004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CT-09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CA02 (Fidelidade da hierarquia)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Refletir mudanças de status do Sensr no Jira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SyncService.UpdateIssueIfNeededAsync + JiraService.TransitionAsync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EPIC-003 / STORY-AASPGOV-005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CT-03, CT-04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CA05 (Sincronização incremental)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Preservar histórico de alterações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HtmlHelper.ParseDescriptionHistory + JiraService.AddCommentAsync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EPIC-002 / STORY-AASPGOV-006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CT-11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CA06 (Migração do histórico)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Conteúdo legível no Jira (sem tags HTML)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RF-07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HtmlHelper.ToPlainText + JiraService.BuildAdfDocument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EPIC-002 / STORY-AASPGOV-007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CT-05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CA03 (Fidelidade do conteúdo)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 equivalente entre as plataformas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RF-08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StatusMapper.MapSensrToJira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EPIC-003 / STORY-AASPGOV-008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CT-07, CT-08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CA04 (Fidelidade do status)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Labels válidos no Jira sem erro de criação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JiraService.SanitizeLabel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EPIC-002 / STORY-AASPGOV-009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CT-10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CA03 (Fidelidade do conteúdo)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multi-desenvolvedor sem alteração de código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RF-10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AppSettings + DeveloperConfig + ProjectConfig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EPIC-001 / STORY-AASPGOV-010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0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CA07 (Resiliência por desenvolvedor)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 agendada não supervisionada no Azure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RF-11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Program.cs — bootstrap com DI + exit code 0/1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EPIC-004 / STORY-AASPGOV-011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(validado na entrega — execução no Azure Scheduler)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ao cliente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Requisitos não funcionais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113"/>
        <w:gridCol w:w="1113"/>
        <w:gridCol w:w="1113"/>
        <w:gridCol w:w="1113"/>
        <w:gridCol w:w="1113"/>
        <w:gridCol w:w="1113"/>
        <w:gridCol w:w="1113"/>
        <w:gridCol w:w="1113"/>
      </w:tblGrid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Necessidade do cliente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(ID)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design (PCP)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no backlog/Jira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Caso de teste (CT)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aceite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duplicatas em execuções repetidas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RNF-01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SyncService — verificação por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antes de criar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STORY-AASPGOV-012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CT-02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CA01 (Sem duplicatas)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Continuidade do processamento em falha de 1 desenvolvedor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RNF-02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SyncService — try/catch por DeveloperConfig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STORY-AASPGOV-013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CT-06, CT-12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CA07 (Resiliência por desenvolvedor)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de cada execução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RNF-03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Microsoft.Extensions.Logging em todos os serviços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STORY-AASPGOV-014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(validado por inspeção de log na Fase 4)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de execução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Evolução do serviço sem reescrita massiva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RNF-04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Estrutura Core / Infrastructure / App (Decisão D01)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STORY-AASPGOV-015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0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(validado por inspeção arquitetural)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Decisão D01 (GDE-AASPGOV01-001)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exposição de credenciais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RNF-05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appsettings.json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gerenciado externamente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STORY-AASPGOV-016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0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(validado por auditoria de configuração — GCO §6)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de configuração (GCO-AASPGOV01-001 §6)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Compatibilidade .NET 8 / Azure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TargetFramework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net8.0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em todos os projetos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STORY-AASPGOV-017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0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(validado por publicação no Azure)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ao cliente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Cobertura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Requisitos sem cobertura de teste:</w:t>
      </w:r>
      <w:r>
        <w:rPr>
          <w:rFonts w:ascii="Calibri" w:hAnsi="Calibri"/>
          <w:b w:val="0"/>
          <w:i w:val="0"/>
          <w:sz w:val="22"/>
        </w:rPr>
        <w:t xml:space="preserve"> nenhum. Todos os 11 RF + 6 RNF possuem caso de teste associado (CT-01 a CT-12) ou validação por inspeção/auditoria documentada (RNF-03, RNF-04, RNF-05, RF-11, RNF-06).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Itens desenvolvidos sem requisito associado:</w:t>
      </w:r>
      <w:r>
        <w:rPr>
          <w:rFonts w:ascii="Calibri" w:hAnsi="Calibri"/>
          <w:b w:val="0"/>
          <w:i w:val="0"/>
          <w:sz w:val="22"/>
        </w:rPr>
        <w:t xml:space="preserve"> nenhum. Todos os componentes implementados (SensrService, JiraService, SyncService, StatusMapper, HtmlHelper, AppSettings/DeveloperConfig/ProjectConfig) estão vinculados a um ou mais requisitos.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Resumo da cobertura: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Total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 caso de teste direto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 validação por inspeção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Sem cobertura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funcionais (RF)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(RF-11)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não funcionais (RNF)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0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Cobertura por critério de aceite: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Atendido por (RF/RNF)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Validado em (CT)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sem duplicatas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Fidelidade da hierarquia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RF-02, RF-03, RF-04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CT-01, CT-09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Fidelidade do conteúdo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RF-03, RF-07, RF-09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CT-01, CT-05, CT-10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Fidelidade do status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CT-07, CT-08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Sincronização incremental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CT-03, CT-04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do histórico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Resiliência por desenvolvedor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RF-01, RF-10, RNF-02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CT-06, CT-12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Todos os 7 critérios de aceite foram cobertos por casos de teste executados e aprovados — ver REL-VV-AASPGOV01-001 §4.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Matriz de rastreabilidade consolidada a partir do Registro de Projeto AASP_Automacao-Governanca v2.0 (08/06/2026). Vínculos a items de backlog (Jira) refletem a modelagem retroativa em 17 stories + sprints conforme GEST-AASPGOV01.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Correção de consistência: critério de RNF-05 referenciado à auditoria de configuração (GCO §6) em vez da Decisão D02 (autenticação); padronização do nome.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RASTR-AASPGOV01-001</w:t>
    </w:r>
    <w:r>
      <w:tab/>
    </w:r>
    <w:r>
      <w:rPr>
        <w:rFonts w:ascii="Calibri" w:hAnsi="Calibri"/>
        <w:color w:val="555555"/>
        <w:sz w:val="18"/>
      </w:rPr>
      <w:t>Engenharia de Requisitos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