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RELATÓRIO DE EXECUÇÃO DE TESTES — AASP_AUTOMACAO-GOVERNANCA · SENSRJIRASYNC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REL-VV-AASPGOV01-001   ·   Versão 1.0   ·   02/06/2026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REL-VV-AASPGOV01-001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AASP_Automacao-Governanca — SensrJiraSync (AASPGOV01)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02/06/2026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Referência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VV-AASPGOV01-001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os resultados da execução de testes do projeto AASP_Automacao-Governanca — SensrJiraSync, cobrindo todas as fases do projeto (Arquitetura, Mapeamento de APIs, Desenvolvimento e Homologação). O relatório evidencia os testes realizados por fase, os defeitos identificados e seus tratamentos, e o resultado da validação dos critérios de aceite CA01 a CA07, fornecendo rastreabilidade entre o design (PCP-AASPGOV01-001), os cenários de teste (VV-AASPGOV01-001) e o produto entregue.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Testes executados por fase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 de teste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1 — Arquitetura (14/04–16/04/2026)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de design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Revisão da estrutura em 3 camadas (Core, Infrastructure, App) e dos contratos de interface pelo Tech Lead/Arquiteto Cezar Hiraki. Resultado registrado no PCP-AASPGOV01-001 §5.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 — Mapeamento de APIs (17/04–23/04/2026)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integração manual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dos endpoints Sensr (login, getactivitiesbyprojectstatus, getsingleactivity, subactivity) e Jira v3 (search, create, transitions, comments) via Postman. Confirmação de autenticação JWT e Basic Auth.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 — Desenvolvimento (24/04–20/05/2026)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unitários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Cobertura dos métodos críticos: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StatusMapper.MapSensrToJira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(5 mapeamentos),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HtmlHelper.ToPlainText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HtmlHelper.ParseDescriptionHistory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JiraService.SanitizeLabel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SyncService.ExtractSensrId</w:t>
            </w:r>
            <w:r>
              <w:rPr>
                <w:rFonts w:ascii="Calibri" w:hAnsi="Calibri"/>
                <w:b w:val="0"/>
                <w:i w:val="0"/>
                <w:sz w:val="20"/>
              </w:rPr>
              <w:t>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 — Desenvolvimento (24/04–20/05/2026)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Code review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Pull Requests no Azure DevOps revisados por Cezar Hiraki (Tech Lead) e membros da equipe — cobertura de SensrService, JiraService, SyncService, HtmlHelper e StatusMapper. Registrado em REV-AASPGOV01-001.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 — Homologação (21/05–02/06/2026)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integração E2E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Ciclo completo de migração inicial (Sensr → Jira) e sincronização incremental de status, executados pela QA Caroline Sousa em ambiente real do Sensr e workspace Jira de teste do AASP. Cenários CT-01 a CT-12.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 — Homologação (21/05–02/06/2026)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regressão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Reteste dos cenários afetados após a correção dos defeitos BUG-01 a BUG-05. 100% de aprovação confirmada antes da validação com o Sponsor.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Defeitos registrados e tratados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 identificada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Resolução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BUG-01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HTML dos campos de descrição do Sensr enviado diretamente ao Jira causando formatação inválida com tags visíveis ao usuário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Implementação do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HtmlHelper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os métodos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ToPlainText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(descrição principal)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ParseDescriptionHistory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(histórico); conteúdo convertido para texto plano antes da geração do ADF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BUG-02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Transições de status falhando silenciosamente quando o status-alvo não estava disponível no fluxo de trabalho do Jira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Consulta prévia das transições disponíveis via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GetTransitionsAsync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antes da aplicação; registro de aviso em log quando a transição desejada não é encontrada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BUG-03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Comparação de status com diferenciação de maiúsculas e minúsculas causando transições desnecessárias ou omissões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Correção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StringComparison.OrdinalIgnoreCase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no método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UpdateIssueIfNeededAsync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do SyncService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BUG-04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Labels com espaços e barras causando erro HTTP na criação de issues no Jira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Implementação do método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SanitizeLabel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no JiraService, substituindo espaços e barras por underscore antes do envio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BUG-05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Ausência de paginação na busca de issues por Epic, resultando em cards não encontrados em projetos com muitos itens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Paginação implementada via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nextPageToken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no método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GetIssuesByEpicAsync</w:t>
            </w:r>
            <w:r>
              <w:rPr>
                <w:rFonts w:ascii="Calibri" w:hAnsi="Calibri"/>
                <w:b w:val="0"/>
                <w:i w:val="0"/>
                <w:sz w:val="20"/>
              </w:rPr>
              <w:t>, percorrendo todas as páginas de resultados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Resumo:</w:t>
      </w:r>
      <w:r>
        <w:rPr>
          <w:rFonts w:ascii="Calibri" w:hAnsi="Calibri"/>
          <w:b w:val="0"/>
          <w:i w:val="0"/>
          <w:sz w:val="22"/>
        </w:rPr>
        <w:t xml:space="preserve"> 5 defeitos identificados durante a Fase 4 de Homologação, todos resolvidos antes da validação final com o Sponsor. </w:t>
      </w:r>
      <w:r>
        <w:rPr>
          <w:rFonts w:ascii="Calibri" w:hAnsi="Calibri"/>
          <w:b/>
          <w:i w:val="0"/>
          <w:sz w:val="22"/>
        </w:rPr>
        <w:t>Taxa de resolução: 100%.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Resultado dos critérios de aceite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Cenários que validaram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Migração sem duplicatas — execuções repetidas não geram cards duplicados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CT-01, CT-02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Fidelidade da hierarquia — projeto→Epic, atividade→Task, sub-atividade→Subtask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CT-01, CT-09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Fidelidade do conteúdo — descrição, labels e histórico migrados com HTML convertido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CT-01, CT-05, CT-10, CT-11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Fidelidade do status — status corresponde ao equivalente no Jira conforme StatusMapper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CT-07, CT-08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Sincronização incremental — status alterado no Sensr reflete no Jira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CT-03, CT-04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Migração do histórico — entradas do description_history como comentários individuais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CT-11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Resiliência por desenvolvedor — falha de um não interrompe os demais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CT-06, CT-12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Todos os 7 critérios de aceite foram validados pelo Analista de Testes (Caroline Sousa) em ambiente real de homologação, e confirmados pelo Sponsor Marcos Correa Fernandez Turnes na reunião de 29/05/2026 (ATA-AASPGOV01-003).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Conclusão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SensrJiraSync foi submetido a um ciclo completo de verificação e validação ao longo das quatro fases do projeto, abrangendo revisão de design, testes unitários, code review via Pull Request, testes de integração E2E em ambiente real e reteste de regressão após correção de defeitos. Os 5 defeitos identificados durante a Fase 4 foram todos resolvidos antes da validação final, resultando em 100% de aprovação nos 12 cenários de teste (CT-01 a CT-12) e na validação de todos os 7 critérios de aceite (CA01–CA07).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validação com o Sponsor em ambiente real, com verificação direta de migração de cards em projeto piloto do AASP, confirmou a fidelidade do produto em relação aos requisitos estabelecidos. O Termo de Aceite e Encerramento (TAE-AASPGOV01-001) foi emitido em 02/06/2026. Conforme ADAP-AASPGOV01-001, a estratégia de homologação em ambiente real — em substituição a mocks — mostrou-se adequada ao porte e à natureza de integração do projeto.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02/06/2026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de execução de testes consolidado a partir do Registro de Projeto AASP_Automacao-Governanca v2.0.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02/06/2026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02/06/2026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REL-VV-AASPGOV01-001</w:t>
    </w:r>
    <w:r>
      <w:tab/>
    </w:r>
    <w:r>
      <w:rPr>
        <w:rFonts w:ascii="Calibri" w:hAnsi="Calibri"/>
        <w:color w:val="555555"/>
        <w:sz w:val="18"/>
      </w:rPr>
      <w:t>Verificação e Validação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