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GUIA DE NOMENCLATURAS TÉCNICAS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`[app]-codesign`   ·   Versão Data   ·   `[campo]_at`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GUIA-GCO-001 — Guia de Nomenclaturas Técnicas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Arquiteto, 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guia define os </w:t>
      </w:r>
      <w:r>
        <w:rPr>
          <w:rFonts w:ascii="Calibri" w:hAnsi="Calibri"/>
          <w:b/>
          <w:i w:val="0"/>
          <w:sz w:val="22"/>
        </w:rPr>
        <w:t>padrões de nomenclatura técnica</w:t>
      </w:r>
      <w:r>
        <w:rPr>
          <w:rFonts w:ascii="Calibri" w:hAnsi="Calibri"/>
          <w:b w:val="0"/>
          <w:i w:val="0"/>
          <w:sz w:val="22"/>
        </w:rPr>
        <w:t xml:space="preserve"> adotados pela Timeware em todas as ferramentas de desenvolvimento e infraestrutura — repositórios, código, banco de dados, recursos Azure, pipelines e segredos. Uma convenção consistente facilita comunicação, busca, integração entre ferramentas e onboarding de novos colaboradores.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complementa o </w:t>
      </w:r>
      <w:r>
        <w:rPr>
          <w:rFonts w:ascii="Calibri" w:hAnsi="Calibri"/>
          <w:b/>
          <w:i w:val="0"/>
          <w:sz w:val="22"/>
        </w:rPr>
        <w:t>Plano de Gerência de Configuração (PLA-GCO-001)</w:t>
      </w:r>
      <w:r>
        <w:rPr>
          <w:rFonts w:ascii="Calibri" w:hAnsi="Calibri"/>
          <w:b w:val="0"/>
          <w:i w:val="0"/>
          <w:sz w:val="22"/>
        </w:rPr>
        <w:t xml:space="preserve">, que define o sistema de controle de configuração, e a </w:t>
      </w:r>
      <w:r>
        <w:rPr>
          <w:rFonts w:ascii="Calibri" w:hAnsi="Calibri"/>
          <w:b/>
          <w:i w:val="0"/>
          <w:sz w:val="22"/>
        </w:rPr>
        <w:t>Convenção de Nomenclatura e Versionamento (CONV-ORG-001)</w:t>
      </w:r>
      <w:r>
        <w:rPr>
          <w:rFonts w:ascii="Calibri" w:hAnsi="Calibri"/>
          <w:b w:val="0"/>
          <w:i w:val="0"/>
          <w:sz w:val="22"/>
        </w:rPr>
        <w:t>, que define o padrão para artefatos de processo. Aqui o foco é a nomenclatura de artefatos técnicos dos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Nomenclatura de Projetos e Repositórios</w:t>
      </w:r>
    </w:p>
    <w:p>
      <w:pPr>
        <w:pStyle w:val="Heading2"/>
        <w:keepNext/>
        <w:keepLines/>
      </w:pPr>
      <w:r>
        <w:t>2.1. Identificação de projetos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nome de um projeto define como ele é referenciado em todas as ferramentas — Jira, Confluence, Azure DevOps. A convenção adotada é </w:t>
      </w:r>
      <w:r>
        <w:rPr>
          <w:rFonts w:ascii="Calibri" w:hAnsi="Calibri"/>
          <w:b/>
          <w:i w:val="0"/>
          <w:sz w:val="22"/>
        </w:rPr>
        <w:t>kebab-case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[cliente|domínio]-[sistema]-[módulo]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`cliente\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domínio`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Identificador do cliente ou área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sistema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 do sistema ou produto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portal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erp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gateway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modulo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ou sub-componente — opcional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auth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relatorios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integracao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Princípios: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Letras minúsculas separadas por hífen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Máximo de 4 segmentos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Sem espaços, acentos ou caracteres especiais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Siglas documentadas no README do projeto</w:t>
      </w:r>
    </w:p>
    <w:p>
      <w:pPr>
        <w:pStyle w:val="Heading2"/>
        <w:keepNext/>
        <w:keepLines/>
      </w:pPr>
      <w:r>
        <w:t>2.2. Repositórios no GitHub / Azure DevOps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nome do repositório deve refletir o propósito do código. Padrão: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[dominio]-[sistema]-[camada]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Camadas recomendadas: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Sufixo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Backend REST ou gRPC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timeware-portal-api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-frontend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Aplicação web (Angular, React)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timeware-portal-frontend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-worker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de processamento assíncrono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timeware-portal-worker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-shared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Biblioteca compartilhada / SDK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timeware-shared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-infra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como código (Terraform, Bicep)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timeware-portal-infra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-pipeline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Templates de pipeline reutilizáveis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timeware-devops-pipeline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-docs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timeware-arquitetura-docs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Use o mesmo nome-base para repositórios relacionados: </w:t>
      </w:r>
      <w:r>
        <w:rPr>
          <w:rFonts w:ascii="Courier New" w:hAnsi="Courier New"/>
          <w:b w:val="0"/>
          <w:i w:val="0"/>
          <w:color w:val="333333"/>
          <w:sz w:val="20"/>
        </w:rPr>
        <w:t>timeware-portal-api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timeware-portal-frontend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timeware-portal-infra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Nunca crie repositórios com letras maiúsculas — o GitHub é case-sensitive em alguns sistemas.</w:t>
      </w:r>
    </w:p>
    <w:p>
      <w:pPr>
        <w:pStyle w:val="Heading2"/>
        <w:keepNext/>
        <w:keepLines/>
      </w:pPr>
      <w:r>
        <w:t>2.3. Organização por Projects no Azure DevOps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Organize repositórios dentro de Projects por domínio de negócio: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Project (Azure DevOps)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Repositórios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timeware-[cliente-a]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[cliente-a]-portal-api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[cliente-a]-portal-frontend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[cliente-a]-infra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timeware-[cliente-b]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[cliente-b]-erp-api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[cliente-b]-erp-worker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timeware-shared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timeware-devops-pipeline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Estrutura Interna de Projetos</w:t>
      </w:r>
    </w:p>
    <w:p>
      <w:pPr>
        <w:pStyle w:val="Heading2"/>
        <w:keepNext/>
        <w:keepLines/>
      </w:pPr>
      <w:r>
        <w:t>3.1. .NET — Estrutura de Solution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Padrão: </w:t>
      </w:r>
      <w:r>
        <w:rPr>
          <w:rFonts w:ascii="Courier New" w:hAnsi="Courier New"/>
          <w:b w:val="0"/>
          <w:i w:val="0"/>
          <w:color w:val="333333"/>
          <w:sz w:val="20"/>
        </w:rPr>
        <w:t>[Empresa].[Produto].[Camada]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 (</w:t>
            </w:r>
            <w:r>
              <w:rPr>
                <w:rFonts w:ascii="Courier New" w:hAnsi="Courier New"/>
                <w:b/>
                <w:i w:val="0"/>
                <w:color w:val="FFFFFF"/>
                <w:sz w:val="20"/>
              </w:rPr>
              <w:t>.csproj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Camada de apresentação (Controllers, Middleware)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Timeware.[Produto].Application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Casos de uso, Commands, Queries (CQRS)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Timeware.[Produto].Domain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Entidades, Value Objects, Interfaces de repositório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Timeware.[Produto].Infrastructure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Implementações de repositório, integrações externas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Timeware.[Produto].Shared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DTOs, extensões, helpers compartilhados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Timeware.[Produto].Tests.Unit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Timeware.[Produto].Tests.Integration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integração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Mantenha </w:t>
      </w:r>
      <w:r>
        <w:rPr>
          <w:rFonts w:ascii="Courier New" w:hAnsi="Courier New"/>
          <w:b w:val="0"/>
          <w:i w:val="0"/>
          <w:color w:val="333333"/>
          <w:sz w:val="20"/>
        </w:rPr>
        <w:t>Domain</w:t>
      </w:r>
      <w:r>
        <w:rPr>
          <w:rFonts w:ascii="Calibri" w:hAnsi="Calibri"/>
          <w:b w:val="0"/>
          <w:i w:val="0"/>
          <w:sz w:val="22"/>
        </w:rPr>
        <w:t xml:space="preserve"> sem dependências de frameworks externos — apenas lógica de negócio pura.</w:t>
      </w:r>
    </w:p>
    <w:p>
      <w:pPr>
        <w:pStyle w:val="Heading2"/>
        <w:keepNext/>
        <w:keepLines/>
      </w:pPr>
      <w:r>
        <w:t>3.2. Node.js / TypeScript — Estrutura de Pastas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Padrão para projetos NestJS ou Express: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src/modules/[feature]/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Feature module (controller, service, dto, entity)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src/shared/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Guards, interceptors, filters, pipes compartilhados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src/config/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Configurações de ambiente e conexões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src/database/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Migrations, seeds, configuração ORM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test/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e2e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Nomenclatura de Arquivos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C# /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UserService.cs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OrderController.cs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TypeScript / JavaScript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 ou kebab-case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user-controller.ts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Angular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kebab-case + sufixo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user-list.component.ts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auth.service.ts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 (componentes)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OrderSummary.tsx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user_service.py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order_repository.py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(scripts de migration)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kebab-case com numeração sequencial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0001-create-users-table.sql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YAML / JSON config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kebab-case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azure-pipelines.yml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app-settings.json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Terraform / Bicep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kebab-case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main.tf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storage-account.bicep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Dockerfile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Capitalizado por 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Dockerfile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Dockerfile.prod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Para scripts SQL de migração, use numeração sequencial obrigatória: </w:t>
      </w:r>
      <w:r>
        <w:rPr>
          <w:rFonts w:ascii="Courier New" w:hAnsi="Courier New"/>
          <w:b w:val="0"/>
          <w:i w:val="0"/>
          <w:color w:val="333333"/>
          <w:sz w:val="20"/>
        </w:rPr>
        <w:t>0001-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0002-</w:t>
      </w:r>
      <w:r>
        <w:rPr>
          <w:rFonts w:ascii="Calibri" w:hAnsi="Calibri"/>
          <w:b w:val="0"/>
          <w:i w:val="0"/>
          <w:sz w:val="22"/>
        </w:rPr>
        <w:t>...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Nunca use espaços em nomes de arquivo — use hífen ou underscore conforme a linguagem.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Nomenclatura de Variáveis e Campos</w:t>
      </w:r>
    </w:p>
    <w:p>
      <w:pPr>
        <w:pStyle w:val="Heading2"/>
        <w:keepNext/>
        <w:keepLines/>
      </w:pPr>
      <w:r>
        <w:t>5.1. Por linguagem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Linguagem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Variáveis locais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Propriedades de classe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Constantes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Campos privados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_camelCase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TypeScript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_camelCase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Java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_snake_case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 (exportado)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5.2. Boas práticas de nomenclatura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Nomes devem revelar intenção</w:t>
      </w:r>
      <w:r>
        <w:rPr>
          <w:rFonts w:ascii="Calibri" w:hAnsi="Calibri"/>
          <w:b w:val="0"/>
          <w:i w:val="0"/>
          <w:sz w:val="22"/>
        </w:rPr>
        <w:t xml:space="preserve"> — evite abreviações obscuras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Booleanos:</w:t>
      </w:r>
      <w:r>
        <w:rPr>
          <w:rFonts w:ascii="Calibri" w:hAnsi="Calibri"/>
          <w:b w:val="0"/>
          <w:i w:val="0"/>
          <w:sz w:val="22"/>
        </w:rPr>
        <w:t xml:space="preserve"> prefixe com </w:t>
      </w:r>
      <w:r>
        <w:rPr>
          <w:rFonts w:ascii="Courier New" w:hAnsi="Courier New"/>
          <w:b w:val="0"/>
          <w:i w:val="0"/>
          <w:color w:val="333333"/>
          <w:sz w:val="20"/>
        </w:rPr>
        <w:t>is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has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can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should</w:t>
      </w:r>
      <w:r>
        <w:rPr>
          <w:rFonts w:ascii="Calibri" w:hAnsi="Calibri"/>
          <w:b w:val="0"/>
          <w:i w:val="0"/>
          <w:sz w:val="22"/>
        </w:rPr>
        <w:t xml:space="preserve"> — ex.: </w:t>
      </w:r>
      <w:r>
        <w:rPr>
          <w:rFonts w:ascii="Courier New" w:hAnsi="Courier New"/>
          <w:b w:val="0"/>
          <w:i w:val="0"/>
          <w:color w:val="333333"/>
          <w:sz w:val="20"/>
        </w:rPr>
        <w:t>isActive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hasPermission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Coleções:</w:t>
      </w:r>
      <w:r>
        <w:rPr>
          <w:rFonts w:ascii="Calibri" w:hAnsi="Calibri"/>
          <w:b w:val="0"/>
          <w:i w:val="0"/>
          <w:sz w:val="22"/>
        </w:rPr>
        <w:t xml:space="preserve"> use o plural — ex.: </w:t>
      </w:r>
      <w:r>
        <w:rPr>
          <w:rFonts w:ascii="Courier New" w:hAnsi="Courier New"/>
          <w:b w:val="0"/>
          <w:i w:val="0"/>
          <w:color w:val="333333"/>
          <w:sz w:val="20"/>
        </w:rPr>
        <w:t>users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orderItems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productList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Métodos:</w:t>
      </w:r>
      <w:r>
        <w:rPr>
          <w:rFonts w:ascii="Calibri" w:hAnsi="Calibri"/>
          <w:b w:val="0"/>
          <w:i w:val="0"/>
          <w:sz w:val="22"/>
        </w:rPr>
        <w:t xml:space="preserve"> use verbos — ex.: </w:t>
      </w:r>
      <w:r>
        <w:rPr>
          <w:rFonts w:ascii="Courier New" w:hAnsi="Courier New"/>
          <w:b w:val="0"/>
          <w:i w:val="0"/>
          <w:color w:val="333333"/>
          <w:sz w:val="20"/>
        </w:rPr>
        <w:t>getUser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calculateTotal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sendEmail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Evite notação húngara:</w:t>
      </w:r>
      <w:r>
        <w:rPr>
          <w:rFonts w:ascii="Calibri" w:hAnsi="Calibri"/>
          <w:b w:val="0"/>
          <w:i w:val="0"/>
          <w:sz w:val="22"/>
        </w:rPr>
        <w:t xml:space="preserve"> não use </w:t>
      </w:r>
      <w:r>
        <w:rPr>
          <w:rFonts w:ascii="Courier New" w:hAnsi="Courier New"/>
          <w:b w:val="0"/>
          <w:i w:val="0"/>
          <w:color w:val="333333"/>
          <w:sz w:val="20"/>
        </w:rPr>
        <w:t>strName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intAge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Constantes de configuração: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MAX_RETRY_COUNT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DEFAULT_TIMEOUT_MS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Contexto explícito:</w:t>
      </w:r>
      <w:r>
        <w:rPr>
          <w:rFonts w:ascii="Calibri" w:hAnsi="Calibri"/>
          <w:b w:val="0"/>
          <w:i w:val="0"/>
          <w:sz w:val="22"/>
        </w:rPr>
        <w:t xml:space="preserve"> prefira </w:t>
      </w:r>
      <w:r>
        <w:rPr>
          <w:rFonts w:ascii="Courier New" w:hAnsi="Courier New"/>
          <w:b w:val="0"/>
          <w:i w:val="0"/>
          <w:color w:val="333333"/>
          <w:sz w:val="20"/>
        </w:rPr>
        <w:t>orderId</w:t>
      </w:r>
      <w:r>
        <w:rPr>
          <w:rFonts w:ascii="Calibri" w:hAnsi="Calibri"/>
          <w:b w:val="0"/>
          <w:i w:val="0"/>
          <w:sz w:val="22"/>
        </w:rPr>
        <w:t xml:space="preserve"> a </w:t>
      </w:r>
      <w:r>
        <w:rPr>
          <w:rFonts w:ascii="Courier New" w:hAnsi="Courier New"/>
          <w:b w:val="0"/>
          <w:i w:val="0"/>
          <w:color w:val="333333"/>
          <w:sz w:val="20"/>
        </w:rPr>
        <w:t>id</w:t>
      </w:r>
      <w:r>
        <w:rPr>
          <w:rFonts w:ascii="Calibri" w:hAnsi="Calibri"/>
          <w:b w:val="0"/>
          <w:i w:val="0"/>
          <w:sz w:val="22"/>
        </w:rPr>
        <w:t xml:space="preserve"> dentro de um contexto de </w:t>
      </w:r>
      <w:r>
        <w:rPr>
          <w:rFonts w:ascii="Courier New" w:hAnsi="Courier New"/>
          <w:b w:val="0"/>
          <w:i w:val="0"/>
          <w:color w:val="333333"/>
          <w:sz w:val="20"/>
        </w:rPr>
        <w:t>Order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Variáveis de loop simples (</w:t>
      </w:r>
      <w:r>
        <w:rPr>
          <w:rFonts w:ascii="Courier New" w:hAnsi="Courier New"/>
          <w:b w:val="0"/>
          <w:i w:val="0"/>
          <w:color w:val="333333"/>
          <w:sz w:val="20"/>
        </w:rPr>
        <w:t>i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j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k</w:t>
      </w:r>
      <w:r>
        <w:rPr>
          <w:rFonts w:ascii="Calibri" w:hAnsi="Calibri"/>
          <w:b w:val="0"/>
          <w:i w:val="0"/>
          <w:sz w:val="22"/>
        </w:rPr>
        <w:t xml:space="preserve">) são aceitáveis. Para loops complexos, nomeie semanticamente: </w:t>
      </w:r>
      <w:r>
        <w:rPr>
          <w:rFonts w:ascii="Courier New" w:hAnsi="Courier New"/>
          <w:b w:val="0"/>
          <w:i w:val="0"/>
          <w:color w:val="333333"/>
          <w:sz w:val="20"/>
        </w:rPr>
        <w:t>userIndex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pageNumber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Nomenclatura de Banco de Dados</w:t>
      </w:r>
    </w:p>
    <w:p>
      <w:pPr>
        <w:pStyle w:val="Heading2"/>
        <w:keepNext/>
        <w:keepLines/>
      </w:pPr>
      <w:r>
        <w:t>6.1. Schemas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Schemas agrupam objetos por domínio de negócio e devem refletir bounded contexts: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Schema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 de objeto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auth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e autorização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auth.users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auth.roles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financial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financeiros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financial.invoices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catalog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de produtos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catalog.products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Logs 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audit.change_log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integration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Dados de integração e staging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integration.erp_orders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Evite usar </w:t>
      </w:r>
      <w:r>
        <w:rPr>
          <w:rFonts w:ascii="Courier New" w:hAnsi="Courier New"/>
          <w:b w:val="0"/>
          <w:i w:val="0"/>
          <w:color w:val="333333"/>
          <w:sz w:val="20"/>
        </w:rPr>
        <w:t>public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dbo</w:t>
      </w:r>
      <w:r>
        <w:rPr>
          <w:rFonts w:ascii="Calibri" w:hAnsi="Calibri"/>
          <w:b w:val="0"/>
          <w:i w:val="0"/>
          <w:sz w:val="22"/>
        </w:rPr>
        <w:t xml:space="preserve"> em produção — prefira schemas de domínio.</w:t>
      </w:r>
    </w:p>
    <w:p>
      <w:pPr>
        <w:pStyle w:val="Heading2"/>
        <w:keepNext/>
        <w:keepLines/>
      </w:pPr>
      <w:r>
        <w:t>6.2. Tabelas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Convenção: </w:t>
      </w:r>
      <w:r>
        <w:rPr>
          <w:rFonts w:ascii="Courier New" w:hAnsi="Courier New"/>
          <w:b w:val="0"/>
          <w:i w:val="0"/>
          <w:color w:val="333333"/>
          <w:sz w:val="20"/>
        </w:rPr>
        <w:t>snake_case</w:t>
      </w:r>
      <w:r>
        <w:rPr>
          <w:rFonts w:ascii="Calibri" w:hAnsi="Calibri"/>
          <w:b w:val="0"/>
          <w:i w:val="0"/>
          <w:sz w:val="22"/>
        </w:rPr>
        <w:t>, plural, sem prefixo de schema no nome.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 correto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Evitar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snake_case plural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order_items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OrderItems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tblOrderItems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ORDERITEMS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Substantivos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products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invoices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get_user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manage_product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prefixos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customers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tbl_customers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tb_customers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Relacionamento N:N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user_roles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userrole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UserRole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6.3. Colunas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coluna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Chave primária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(serial/uuid)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 BIGSERIAL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 UUID DEFAULT gen_random_uuid()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Chave estrangeira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[tabela_singular]_id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customer_id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order_id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product_id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Booleanos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is_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has_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is_active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is_deleted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has_discount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_at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_date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created_at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updated_at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deleted_at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due_date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/ 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_status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_type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order_status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payment_type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Valor monetário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_amount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_value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total_amount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discount_value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JSON / JSONB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_data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ou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_metadata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extra_data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audit_metadata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6.4. Constraints, índices e outros objetos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de 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Primary 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pk_[tabela]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pk_orders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Foreign 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fk_[tabela]_[coluna]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fk_orders_customer_id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Unique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uq_[tabela]_[coluna(s)]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uq_users_email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Índice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idx_[tabela]_[coluna(s)]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idx_orders_created_at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Índice composto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idx_[tabela]_[col1]_[col2]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idx_orders_status_customer_id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 Constraint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ck_[tabela]_[regra]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ck_products_price_positive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Trigger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trg_[tabela]_[acao]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trg_orders_before_update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View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vw_[descricao]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vw_active_customers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Stored Procedure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sp_[acao]_[entidade]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sp_calculate_invoice_total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Function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fn_[acao]_[retorno]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fn_get_customer_balance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Nunca use prefixos como </w:t>
      </w:r>
      <w:r>
        <w:rPr>
          <w:rFonts w:ascii="Courier New" w:hAnsi="Courier New"/>
          <w:b w:val="0"/>
          <w:i w:val="0"/>
          <w:color w:val="333333"/>
          <w:sz w:val="20"/>
        </w:rPr>
        <w:t>tbl_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sp_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vw_</w:t>
      </w:r>
      <w:r>
        <w:rPr>
          <w:rFonts w:ascii="Calibri" w:hAnsi="Calibri"/>
          <w:b w:val="0"/>
          <w:i w:val="0"/>
          <w:sz w:val="22"/>
        </w:rPr>
        <w:t xml:space="preserve"> nas próprias tabelas/procedures — use schemas para segregação. Evite abreviações em nomes de colunas: prefira </w:t>
      </w:r>
      <w:r>
        <w:rPr>
          <w:rFonts w:ascii="Courier New" w:hAnsi="Courier New"/>
          <w:b w:val="0"/>
          <w:i w:val="0"/>
          <w:color w:val="333333"/>
          <w:sz w:val="20"/>
        </w:rPr>
        <w:t>user_name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order_date</w:t>
      </w:r>
      <w:r>
        <w:rPr>
          <w:rFonts w:ascii="Calibri" w:hAnsi="Calibri"/>
          <w:b w:val="0"/>
          <w:i w:val="0"/>
          <w:sz w:val="22"/>
        </w:rPr>
        <w:t xml:space="preserve"> a </w:t>
      </w:r>
      <w:r>
        <w:rPr>
          <w:rFonts w:ascii="Courier New" w:hAnsi="Courier New"/>
          <w:b w:val="0"/>
          <w:i w:val="0"/>
          <w:color w:val="333333"/>
          <w:sz w:val="20"/>
        </w:rPr>
        <w:t>usr_nm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ord_dt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Nomenclatura de Recursos no Azure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Microsoft recomenda uma convenção padronizada para todos os recursos Azure (Cloud Adoption Framework). Seguir esse padrão garante consistência em subscription, resource groups, IAM e billing.</w:t>
      </w:r>
    </w:p>
    <w:p>
      <w:pPr>
        <w:pStyle w:val="Heading2"/>
        <w:keepNext/>
        <w:keepLines/>
      </w:pPr>
      <w:r>
        <w:t>7.1. Padrão geral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[tipo]-[workload]-[ambiente]-[região]-[instância]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Valores comuns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Abreviação do tipo de recurso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aks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kv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func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workload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 do sistema ou 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timeware-erp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implantação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hml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região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da região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(Brazil South),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eus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(East US)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instância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Número sequencial quando necessário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01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02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7.2. Abreviações por tipo de recurso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Abreviação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 completo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Resource Group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rg-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rg-timeware-portal-prd-brs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AKS Cluster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aks-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aks-timeware-portal-prd-brs-01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Container Registry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acrtimewareportalprdbrs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(sem hífen)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Container 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ca-timeware-portal-api-prd-brs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Container Apps Environment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cae-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cae-timeware-prd-brs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kv-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kv-timeware-portal-prd-brs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Storage Account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sttimewareportalprdbrs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(sem hífen)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Service Bus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sb-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sb-timeware-portal-prd-brs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Service / Web 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app-timeware-portal-api-prd-brs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Service Plan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asp-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asp-timeware-portal-prd-brs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Virtual Network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vnet-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vnet-timeware-prd-brs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snet-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snet-timeware-aks-prd-brs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NSG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nsg-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nsg-timeware-prd-brs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 Analytics Workspace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log-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log-timeware-prd-brs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appi-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appi-timeware-portal-prd-brs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Managed Identity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id-timeware-aks-prd-brs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PostgreSQL Flexible Server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psql-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psql-timeware-portal-prd-brs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Agent Pool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pool-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pool-timeware-prd-brs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Atenção:</w:t>
      </w:r>
      <w:r>
        <w:rPr>
          <w:rFonts w:ascii="Calibri" w:hAnsi="Calibri"/>
          <w:b w:val="0"/>
          <w:i w:val="0"/>
          <w:sz w:val="22"/>
        </w:rPr>
        <w:t xml:space="preserve"> Storage Account e ACR não suportam hífens — use apenas letras minúsculas e números (máximo 24 e 50 caracteres, respectivamente).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Resource Groups devem agrupar recursos pelo ciclo de vida, não pelo tipo. Exemplo: todos os recursos do portal em produção ficam em </w:t>
      </w:r>
      <w:r>
        <w:rPr>
          <w:rFonts w:ascii="Courier New" w:hAnsi="Courier New"/>
          <w:b w:val="0"/>
          <w:i w:val="0"/>
          <w:color w:val="333333"/>
          <w:sz w:val="20"/>
        </w:rPr>
        <w:t>rg-timeware-portal-prd-brs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7.3. Tags obrigatórias em todos os recursos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 de valor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Environment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do recurso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production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homologation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development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Project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 do projeto/produto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Owner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ou 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team-devops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CostCenter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Centro de custo para billing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CC-0042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ManagedBy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Método de provisionamento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terraform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bicep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manual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Nomenclatura de Pipelines — Azure DevOps</w:t>
      </w:r>
    </w:p>
    <w:p>
      <w:pPr>
        <w:pStyle w:val="Heading2"/>
        <w:keepNext/>
        <w:keepLines/>
      </w:pPr>
      <w:r>
        <w:t>8.1. Nome do pipeline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Padrão: </w:t>
      </w:r>
      <w:r>
        <w:rPr>
          <w:rFonts w:ascii="Courier New" w:hAnsi="Courier New"/>
          <w:b w:val="0"/>
          <w:i w:val="0"/>
          <w:color w:val="333333"/>
          <w:sz w:val="20"/>
        </w:rPr>
        <w:t>[projeto]-[camada]-[acao]-[ambiente]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pipeline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 de 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 (Build)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[projeto]-[camada]-ci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timeware-portal-api-ci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CD (Deploy)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[projeto]-[camada]-cd-[ambiente]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timeware-portal-api-cd-prd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CI/CD unificado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[projeto]-[camada]-cicd-[ambiente]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timeware-portal-api-cicd-hml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 (IaC)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[projeto]-infra-[acao]-[ambiente]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timeware-portal-infra-deploy-prd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Release de lib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[lib]-release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timeware-shared-release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Template reutilizável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template-[funcao]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template-docker-build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8.2. Variáveis em pipelines YAML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Variável de 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DOCKER_IMAGE_NAME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ACR_LOGIN_SERVER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Variável de pipeline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var: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imageTag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buildNumber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Parâmetro de template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environment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containerAppName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Variável de grupo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variable group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SQL_CONNECTION_STRING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Variável sensível (secret)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ACR_PASSWORD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SQL_PASSWORD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Nunca armazene segredos diretamente no YAML — use Variable Groups linkados ao Azure Key Vault.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Prefixe variáveis de grupo por ambiente em cenários multi-env: </w:t>
      </w:r>
      <w:r>
        <w:rPr>
          <w:rFonts w:ascii="Courier New" w:hAnsi="Courier New"/>
          <w:b w:val="0"/>
          <w:i w:val="0"/>
          <w:color w:val="333333"/>
          <w:sz w:val="20"/>
        </w:rPr>
        <w:t>PRD_SQL_CONNECTION_STRING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HML_SQL_CONNECTION_STRING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8.3. Stages, jobs e steps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stage: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 descritivo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Test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DeployHml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DeployPrd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job: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 descritivo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BuildDockerImage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RunUnitTests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step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(displayName)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Descrição em PT/EN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'Build Docker Image'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'Push to ACR'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Nomenclatura de Segredos no Azure Key Vault</w:t>
      </w:r>
    </w:p>
    <w:p>
      <w:pPr>
        <w:pStyle w:val="Heading2"/>
        <w:keepNext/>
        <w:keepLines/>
      </w:pPr>
      <w:r>
        <w:t>9.1. Restrições do Key Vault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Apenas letras, números e hífens (</w:t>
      </w:r>
      <w:r>
        <w:rPr>
          <w:rFonts w:ascii="Courier New" w:hAnsi="Courier New"/>
          <w:b w:val="0"/>
          <w:i w:val="0"/>
          <w:color w:val="333333"/>
          <w:sz w:val="20"/>
        </w:rPr>
        <w:t>-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Sem underscore, sem ponto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Máximo de 127 caracteres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Prefira kebab-case consistente em letras minúsculas</w:t>
      </w:r>
    </w:p>
    <w:p>
      <w:pPr>
        <w:pStyle w:val="Heading2"/>
        <w:keepNext/>
        <w:keepLines/>
      </w:pPr>
      <w:r>
        <w:t>9.2. Padrão para secrets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[aplicacao]--[Categoria]--[Chave]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duplo hífen (</w:t>
      </w:r>
      <w:r>
        <w:rPr>
          <w:rFonts w:ascii="Courier New" w:hAnsi="Courier New"/>
          <w:b w:val="0"/>
          <w:i w:val="0"/>
          <w:color w:val="333333"/>
          <w:sz w:val="20"/>
        </w:rPr>
        <w:t>--</w:t>
      </w:r>
      <w:r>
        <w:rPr>
          <w:rFonts w:ascii="Calibri" w:hAnsi="Calibri"/>
          <w:b w:val="0"/>
          <w:i w:val="0"/>
          <w:sz w:val="22"/>
        </w:rPr>
        <w:t xml:space="preserve">) funciona como separador de hierarquia. O .NET Configuration Provider converte automaticamente </w:t>
      </w:r>
      <w:r>
        <w:rPr>
          <w:rFonts w:ascii="Courier New" w:hAnsi="Courier New"/>
          <w:b w:val="0"/>
          <w:i w:val="0"/>
          <w:color w:val="333333"/>
          <w:sz w:val="20"/>
        </w:rPr>
        <w:t>--</w:t>
      </w:r>
      <w:r>
        <w:rPr>
          <w:rFonts w:ascii="Calibri" w:hAnsi="Calibri"/>
          <w:b w:val="0"/>
          <w:i w:val="0"/>
          <w:sz w:val="22"/>
        </w:rPr>
        <w:t xml:space="preserve"> em </w:t>
      </w:r>
      <w:r>
        <w:rPr>
          <w:rFonts w:ascii="Courier New" w:hAnsi="Courier New"/>
          <w:b w:val="0"/>
          <w:i w:val="0"/>
          <w:color w:val="333333"/>
          <w:sz w:val="20"/>
        </w:rPr>
        <w:t>:</w:t>
      </w:r>
      <w:r>
        <w:rPr>
          <w:rFonts w:ascii="Calibri" w:hAnsi="Calibri"/>
          <w:b w:val="0"/>
          <w:i w:val="0"/>
          <w:sz w:val="22"/>
        </w:rPr>
        <w:t xml:space="preserve"> (dois pontos) na configuração da aplicação.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Exemplos de secret name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[app]--ConnectionStrings--[db]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timeware-portal--ConnectionStrings--Default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externas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[app]--ExternalApis--[servico]--ApiKey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timeware-portal--ExternalApis--Correios--ApiKey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Credenciais de serviço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[app]--[servico]--[credencial]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timeware-portal--Smtp--Password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/ Auth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[app]--Jwt--[chave]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timeware-portal--Jwt--SecretKey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Services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[app]--Azure--[servico]--[chave]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timeware-portal--Azure--ServiceBus--ConnectionString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Compartilhado (multi-app)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shared--[categoria]--[chave]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shared--Smtp--Password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Não inclua o ambiente no nome do secret — use Key Vaults diferentes por ambiente (</w:t>
      </w:r>
      <w:r>
        <w:rPr>
          <w:rFonts w:ascii="Courier New" w:hAnsi="Courier New"/>
          <w:b w:val="0"/>
          <w:i w:val="0"/>
          <w:color w:val="333333"/>
          <w:sz w:val="20"/>
        </w:rPr>
        <w:t>kv-timeware-portal-hml-brs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kv-timeware-portal-prd-brs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Nunca coloque valores de secret em YAML de pipeline, </w:t>
      </w:r>
      <w:r>
        <w:rPr>
          <w:rFonts w:ascii="Courier New" w:hAnsi="Courier New"/>
          <w:b w:val="0"/>
          <w:i w:val="0"/>
          <w:color w:val="333333"/>
          <w:sz w:val="20"/>
        </w:rPr>
        <w:t>appsettings.json</w:t>
      </w:r>
      <w:r>
        <w:rPr>
          <w:rFonts w:ascii="Calibri" w:hAnsi="Calibri"/>
          <w:b w:val="0"/>
          <w:i w:val="0"/>
          <w:sz w:val="22"/>
        </w:rPr>
        <w:t xml:space="preserve"> ou código-fonte, mesmo em ambientes de desenvolvimento.</w:t>
      </w:r>
    </w:p>
    <w:p>
      <w:pPr>
        <w:pStyle w:val="Heading2"/>
        <w:keepNext/>
        <w:keepLines/>
      </w:pPr>
      <w:r>
        <w:t>9.3. Nomenclatura de keys (criptografia)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de 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Chave de criptografia de dados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[app]-data-encryption-key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timeware-portal-data-encryption-key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Chave de assinatura de token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[app]-token-signing-key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timeware-portal-token-signing-key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Chave de wrap (KEK)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[app]-kek-[versao]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timeware-portal-kek-v1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9.4. Nomenclatura de certificados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TLS/SSL de domínio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[dominio]-tls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timeware-portal-tls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mTLS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[app]-client-[servico]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timeware-portal-client-erp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Assinatura de 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[app]-codesign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timeware-codesign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Contexto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Convenção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kebab-case: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[dominio]-[sistema]-[modulo]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timeware-portal-api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Repositórios GitHub/DevOps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kebab-case: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[dominio]-[sistema]-[camada]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timeware-portal-frontend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Projetos .NET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PascalCase com pontos: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Empresa.Produto.Camada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Timeware.Portal.Application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Arquivos C#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OrderService.cs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Arquivos TypeScript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kebab-case com sufixo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user-list.component.ts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Arquivos SQL migration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numeração + kebab-case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0001-create-orders-table.sql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Variáveis (C# / 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camelCase (local) / PascalCase (propriedade)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Constantes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MAX_RETRY_COUNT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Tabelas BD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snake_case plural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order_items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Colunas BD — FK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[tabela_singular]_id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customer_id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Colunas BD — datas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[campo]_at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created_at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deleted_at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Recursos Azure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[tipo]-[workload]-[env]-[regiao]-[inst]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aks-timeware-portal-prd-brs-01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Resource Group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rg-[workload]-[env]-[regiao]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rg-timeware-portal-prd-brs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Secret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[app]--[Categoria]--[Chave]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timeware-portal--Jwt--SecretKey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YAML var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UPPER_SNAKE_CASE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ACR_LOGIN_SERVER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stage/job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PascalCase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DeployPrd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BuildDockerImage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documento deve ser revisado a cada 6 meses ou quando houver mudança relevante de stack.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de Gerência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12.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complementa os resultados do processo </w:t>
      </w:r>
      <w:r>
        <w:rPr>
          <w:rFonts w:ascii="Calibri" w:hAnsi="Calibri"/>
          <w:b/>
          <w:i w:val="0"/>
          <w:sz w:val="22"/>
        </w:rPr>
        <w:t>Gerência de Configuração (GCO)</w:t>
      </w:r>
      <w:r>
        <w:rPr>
          <w:rFonts w:ascii="Calibri" w:hAnsi="Calibri"/>
          <w:b w:val="0"/>
          <w:i w:val="0"/>
          <w:sz w:val="22"/>
        </w:rPr>
        <w:t xml:space="preserve"> do MR-MPS-SW:2024, especificamente no que diz respeito à identificação e padronização dos itens de configuração e ao ambiente-padrão de trabalho.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1 — itens de configuração identificados com níveis de controle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 (repositórios), §7 (recursos Azure), §8 (pipelines), §9 (segredos/Key Vault)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2 — sistema de GC e controle de mudanças estabelecido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§2.3 (organização Azure DevOps), §8 (nomenclatura de pipelines)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 8 — ambientes-padrão de trabalho estabelecidos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§7 (recursos Azure) e §8 (pipelines) complementam o PLA-GPC-001 §3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guia de nomenclaturas técnicas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`[campo]_at`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`[campo]_at`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`[app]-codesign`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