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MINI-MANUAL — GERÊNCIA ORGANIZACIONAL DE SOFTWARE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GUIA-CAP-010   ·   Versão Data   ·   05/08/2025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GUIA-CAP-010 — Mini-manual OSW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é.</w:t>
      </w:r>
      <w:r>
        <w:rPr>
          <w:rFonts w:ascii="Calibri" w:hAnsi="Calibri"/>
          <w:b w:val="0"/>
          <w:i w:val="0"/>
          <w:sz w:val="22"/>
        </w:rPr>
        <w:t xml:space="preserve"> O processo de governança organizacional — garante que os processos têm patrocínio e recursos, e que o portfólio de projetos é gerenciado com visibilidade de capacidade e alinhamento aos objetivos de negócio.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ele garante.</w:t>
      </w:r>
      <w:r>
        <w:rPr>
          <w:rFonts w:ascii="Calibri" w:hAnsi="Calibri"/>
          <w:b w:val="0"/>
          <w:i w:val="0"/>
          <w:sz w:val="22"/>
        </w:rPr>
        <w:t xml:space="preserve"> Que (1) a organização define e comunica a política de processos; (2) recursos e treinamento para os processos são garantidos pela liderança; (3) os processos são alinhados aos objetivos de negócio; (4) o portfólio de projetos é priorizado com gestão de capacidade explícita; (5) uma análise crítica periódica avalia o desempenho organizacional e direciona ações.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Por que fazer.</w:t>
      </w:r>
      <w:r>
        <w:rPr>
          <w:rFonts w:ascii="Calibri" w:hAnsi="Calibri"/>
          <w:b w:val="0"/>
          <w:i w:val="0"/>
          <w:sz w:val="22"/>
        </w:rPr>
        <w:t xml:space="preserve"> Processos definidos mas não patrocinados pela liderança não sobrevivem. O OSW é o que conecta a definição de processo (GPC) à decisão executiva: garante que há recurso, monitora alinhamento e conduz a análise crítica que fecha o ciclo. Sem esse patrocínio, os processos ficam no papel.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Como usar no dia a dia.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Garanta que a POL-ORG-001 está comunicada e que os recursos para os processos estão alocados (PRO-OSW-001 §3).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Mantenha o quadro de capacidade e portfólio de projetos atualizado (PRO-OSW-002).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Conduza a análise crítica trimestral com base nas medidas consolidadas: avalie desempenho e defina ações (PRO-OSW-001 §7).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Registre as decisões da análise crítica no Confluence e as ações no Jira.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Comunique as diretrizes organizacionais ao time.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Erro comum a evitar.</w:t>
      </w:r>
      <w:r>
        <w:rPr>
          <w:rFonts w:ascii="Calibri" w:hAnsi="Calibri"/>
          <w:b w:val="0"/>
          <w:i w:val="0"/>
          <w:sz w:val="22"/>
        </w:rPr>
        <w:t xml:space="preserve"> Delegar a análise crítica para o time sem participação efetiva da liderança. A análise crítica é o momento em que a organização decide sobre seus processos com base em dados reais — sem patrocínio executivo real, vira reunião de relatório sem consequência.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05/08/2025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GUIA-CAP-010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