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ROTEIRO DE APRESENTAÇÃO DE KICKOFF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GUIA-GPR-001   ·   Versão Data   ·   13/11/2025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GUIA-GPR-001 — Roteiro de Apresentação de Kickoff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13/11/2025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Organização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 Brasil Softwares e Serviços LTDA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Classificação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Apoio (orientação para o time)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Finalidade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Padronizar o conteúdo da reunião/apresentação de kickoff gerencial (Fase 2 do PRO-GPC-001)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Objetivo do kickoff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O kickoff é o </w:t>
      </w:r>
      <w:r>
        <w:rPr>
          <w:rFonts w:ascii="Calibri" w:hAnsi="Calibri"/>
          <w:b/>
          <w:i w:val="0"/>
          <w:sz w:val="22"/>
        </w:rPr>
        <w:t>marco gerencial de abertura</w:t>
      </w:r>
      <w:r>
        <w:rPr>
          <w:rFonts w:ascii="Calibri" w:hAnsi="Calibri"/>
          <w:b w:val="0"/>
          <w:i w:val="0"/>
          <w:sz w:val="22"/>
        </w:rPr>
        <w:t xml:space="preserve"> do projeto. Não detalha cronograma fechado nem plano final — formaliza o início, apresenta a visão macro e alinha as próximas atividades. O plano detalhado é aprovado depois, na reunião de Apresentação e Aprovação do Plano.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Conteúdo que a apresentação deve cobrir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Independentemente do formato (slides, documento), a apresentação de kickoff deve conter:</w:t>
      </w:r>
    </w:p>
    <w:p>
      <w:pPr>
        <w:pStyle w:val="ListNumber"/>
        <w:spacing w:before="20" w:after="40"/>
      </w:pPr>
      <w:r>
        <w:rPr>
          <w:rFonts w:ascii="Calibri" w:hAnsi="Calibri"/>
          <w:b/>
          <w:i w:val="0"/>
          <w:sz w:val="22"/>
        </w:rPr>
        <w:t>Abertura e contexto</w:t>
      </w:r>
      <w:r>
        <w:rPr>
          <w:rFonts w:ascii="Calibri" w:hAnsi="Calibri"/>
          <w:b w:val="0"/>
          <w:i w:val="0"/>
          <w:sz w:val="22"/>
        </w:rPr>
        <w:t xml:space="preserve"> — objetivo do projeto e o problema que resolve.</w:t>
      </w:r>
    </w:p>
    <w:p>
      <w:pPr>
        <w:pStyle w:val="ListNumber"/>
        <w:spacing w:before="20" w:after="40"/>
      </w:pPr>
      <w:r>
        <w:rPr>
          <w:rFonts w:ascii="Calibri" w:hAnsi="Calibri"/>
          <w:b/>
          <w:i w:val="0"/>
          <w:sz w:val="22"/>
        </w:rPr>
        <w:t>Escopo macro</w:t>
      </w:r>
      <w:r>
        <w:rPr>
          <w:rFonts w:ascii="Calibri" w:hAnsi="Calibri"/>
          <w:b w:val="0"/>
          <w:i w:val="0"/>
          <w:sz w:val="22"/>
        </w:rPr>
        <w:t xml:space="preserve"> — o que está e o que não está no escopo (conforme contrato/proposta).</w:t>
      </w:r>
    </w:p>
    <w:p>
      <w:pPr>
        <w:pStyle w:val="ListNumber"/>
        <w:spacing w:before="20" w:after="40"/>
      </w:pPr>
      <w:r>
        <w:rPr>
          <w:rFonts w:ascii="Calibri" w:hAnsi="Calibri"/>
          <w:b/>
          <w:i w:val="0"/>
          <w:sz w:val="22"/>
        </w:rPr>
        <w:t>Equipe destacada</w:t>
      </w:r>
      <w:r>
        <w:rPr>
          <w:rFonts w:ascii="Calibri" w:hAnsi="Calibri"/>
          <w:b w:val="0"/>
          <w:i w:val="0"/>
          <w:sz w:val="22"/>
        </w:rPr>
        <w:t xml:space="preserve"> — quem são os responsáveis (GP, Tech Lead/Arquiteto, PO) e seus papéis.</w:t>
      </w:r>
    </w:p>
    <w:p>
      <w:pPr>
        <w:pStyle w:val="ListNumber"/>
        <w:spacing w:before="20" w:after="40"/>
      </w:pPr>
      <w:r>
        <w:rPr>
          <w:rFonts w:ascii="Calibri" w:hAnsi="Calibri"/>
          <w:b/>
          <w:i w:val="0"/>
          <w:sz w:val="22"/>
        </w:rPr>
        <w:t>Macroplanejamento</w:t>
      </w:r>
      <w:r>
        <w:rPr>
          <w:rFonts w:ascii="Calibri" w:hAnsi="Calibri"/>
          <w:b w:val="0"/>
          <w:i w:val="0"/>
          <w:sz w:val="22"/>
        </w:rPr>
        <w:t xml:space="preserve"> — grandes marcos com </w:t>
      </w:r>
      <w:r>
        <w:rPr>
          <w:rFonts w:ascii="Calibri" w:hAnsi="Calibri"/>
          <w:b/>
          <w:i w:val="0"/>
          <w:sz w:val="22"/>
        </w:rPr>
        <w:t>datas-alvo</w:t>
      </w:r>
      <w:r>
        <w:rPr>
          <w:rFonts w:ascii="Calibri" w:hAnsi="Calibri"/>
          <w:b w:val="0"/>
          <w:i w:val="0"/>
          <w:sz w:val="22"/>
        </w:rPr>
        <w:t xml:space="preserve"> (não fechadas), incluindo a previsão da aprovação do plano.</w:t>
      </w:r>
    </w:p>
    <w:p>
      <w:pPr>
        <w:pStyle w:val="ListNumber"/>
        <w:spacing w:before="20" w:after="40"/>
      </w:pPr>
      <w:r>
        <w:rPr>
          <w:rFonts w:ascii="Calibri" w:hAnsi="Calibri"/>
          <w:b/>
          <w:i w:val="0"/>
          <w:sz w:val="22"/>
        </w:rPr>
        <w:t>Agenda das próximas atividades</w:t>
      </w:r>
      <w:r>
        <w:rPr>
          <w:rFonts w:ascii="Calibri" w:hAnsi="Calibri"/>
          <w:b w:val="0"/>
          <w:i w:val="0"/>
          <w:sz w:val="22"/>
        </w:rPr>
        <w:t xml:space="preserve"> — o que acontece nas próximas semanas (reuniões com cliente, Discovery, levantamento de requisitos, validações).</w:t>
      </w:r>
    </w:p>
    <w:p>
      <w:pPr>
        <w:pStyle w:val="ListNumber"/>
        <w:spacing w:before="20" w:after="40"/>
      </w:pPr>
      <w:r>
        <w:rPr>
          <w:rFonts w:ascii="Calibri" w:hAnsi="Calibri"/>
          <w:b/>
          <w:i w:val="0"/>
          <w:sz w:val="22"/>
        </w:rPr>
        <w:t>Forma de trabalho</w:t>
      </w:r>
      <w:r>
        <w:rPr>
          <w:rFonts w:ascii="Calibri" w:hAnsi="Calibri"/>
          <w:b w:val="0"/>
          <w:i w:val="0"/>
          <w:sz w:val="22"/>
        </w:rPr>
        <w:t xml:space="preserve"> — abordagem ágil, cadência de comunicação/status report, como serão tratadas mudanças (change request após a aprovação do plano).</w:t>
      </w:r>
    </w:p>
    <w:p>
      <w:pPr>
        <w:pStyle w:val="ListNumber"/>
        <w:spacing w:before="20" w:after="40"/>
      </w:pPr>
      <w:r>
        <w:rPr>
          <w:rFonts w:ascii="Calibri" w:hAnsi="Calibri"/>
          <w:b/>
          <w:i w:val="0"/>
          <w:sz w:val="22"/>
        </w:rPr>
        <w:t>Próximos passos e responsabilidades do cliente</w:t>
      </w:r>
      <w:r>
        <w:rPr>
          <w:rFonts w:ascii="Calibri" w:hAnsi="Calibri"/>
          <w:b w:val="0"/>
          <w:i w:val="0"/>
          <w:sz w:val="22"/>
        </w:rPr>
        <w:t xml:space="preserve"> — o que se espera do cliente (disponibilidade para reuniões, validações, insumos).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Evidência do marco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A apresentação em si é material de apoio. A </w:t>
      </w:r>
      <w:r>
        <w:rPr>
          <w:rFonts w:ascii="Calibri" w:hAnsi="Calibri"/>
          <w:b/>
          <w:i w:val="0"/>
          <w:sz w:val="22"/>
        </w:rPr>
        <w:t>evidência do kickoff</w:t>
      </w:r>
      <w:r>
        <w:rPr>
          <w:rFonts w:ascii="Calibri" w:hAnsi="Calibri"/>
          <w:b w:val="0"/>
          <w:i w:val="0"/>
          <w:sz w:val="22"/>
        </w:rPr>
        <w:t xml:space="preserve"> para fins de processo é: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o </w:t>
      </w:r>
      <w:r>
        <w:rPr>
          <w:rFonts w:ascii="Calibri" w:hAnsi="Calibri"/>
          <w:b/>
          <w:i w:val="0"/>
          <w:sz w:val="22"/>
        </w:rPr>
        <w:t>Termo de Abertura do Projeto</w:t>
      </w:r>
      <w:r>
        <w:rPr>
          <w:rFonts w:ascii="Calibri" w:hAnsi="Calibri"/>
          <w:b w:val="0"/>
          <w:i w:val="0"/>
          <w:sz w:val="22"/>
        </w:rPr>
        <w:t xml:space="preserve"> (TPL-GPR-002), registrado no projeto;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a </w:t>
      </w:r>
      <w:r>
        <w:rPr>
          <w:rFonts w:ascii="Calibri" w:hAnsi="Calibri"/>
          <w:b/>
          <w:i w:val="0"/>
          <w:sz w:val="22"/>
        </w:rPr>
        <w:t>Ata da reunião de kickoff</w:t>
      </w:r>
      <w:r>
        <w:rPr>
          <w:rFonts w:ascii="Calibri" w:hAnsi="Calibri"/>
          <w:b w:val="0"/>
          <w:i w:val="0"/>
          <w:sz w:val="22"/>
        </w:rPr>
        <w:t xml:space="preserve"> (TPL-ORG-001), com participantes e definições.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Boas práticas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Manter a apresentação enxuta e objetiva — o kickoff é alinhamento, não detalhamento.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Deixar claro que as datas são alvo e que o compromisso firme vem na aprovação do plano.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Registrar presença e definições na ata logo após a reunião.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13/11/2025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Definição inicial do roteiro de kickoff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13/11/2025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13/11/2025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GUIA-GPR-001</w:t>
    </w:r>
    <w:r>
      <w:tab/>
    </w:r>
    <w:r>
      <w:rPr>
        <w:rFonts w:ascii="Calibri" w:hAnsi="Calibri"/>
        <w:color w:val="555555"/>
        <w:sz w:val="18"/>
      </w:rPr>
      <w:t>Gerência de Projetos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