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GERÊNCIA DE CONFIGURAÇÃO — SUPERAPP FRUKI · FORÇA DE VENDAS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05/06/2026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Força de Vendas (Pacote 1 + Pacote Final 24)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 organizacional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 — Plano de Gerência de Configuração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Itens de configuração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PLA-GCO-001 seção 3.1, os seguintes itens de configuração foram identificados e colocados sob controle para este projeto: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 / localização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de controle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do SuperApp Fruki (Pacote 1 + Pacote Final 24)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Fruki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https://dev.azure.com/fruki/superapp/_git/fruki-app.git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 Git + Pull Request com revisão pelo Jardel antes do merge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 e TAP-FRUKI01-002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MPS Timeware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mps-nivel-c/oficial/04_registros/FTFRUKI_SuperApp-Forca-de-Vendas/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conforme CONV-ORG-001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 e PLA-FRUKI01-002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 — documentos baseline aprovados pelo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REQ-FRUKI01-001 e REQ-FRUKI01-002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ADAP-FRUKI01-001 e ADAP-FRUKI01-002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 e PCP-FRUKI01-002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ITP-FRUKI01-001 e ITP-FRUKI01-002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VV-FRUKI01-001 e VV-FRUKI01-002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RASTR-FRUKI01-001 e RASTR-FRUKI01-002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 e TAE-FRUKI01-002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ATAs (ATA-FRUKI01-001 a ATA-FRUKI01-007)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 — mudança de escopo aprovada antes do início da execução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APK de homologação (por entrega)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 — link compartilhado com cliente antes de cada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Distribuição controlada — link único por build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(produção)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ao time Fruki para publicação na Play Store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Imutável após entrega — versionamento 2.0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Estrutura de branches (repositório Fruki)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Criado por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principal do repositório Fruki; código estável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(pré-existente)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do Pacote 1 (Metas/RV)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— Jun/2025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feature/nao-alocados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Sprint 1 Pacote Final 24 (Pedidos Não Alocados)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— Out/2025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feature/regra-de-ouro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Sprint 2 Pacote Final 24 (Regra de Ouro)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— Nov/2025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feature/pdv-rota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Sprint 3 Pacote Final 24 (PDV / Rota PDV)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— Dez/2025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Política de merge:</w:t>
      </w:r>
      <w:r>
        <w:rPr>
          <w:rFonts w:ascii="Calibri" w:hAnsi="Calibri"/>
          <w:b w:val="0"/>
          <w:i w:val="0"/>
          <w:sz w:val="22"/>
        </w:rPr>
        <w:t xml:space="preserve"> nenhuma branch é mergeada na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sem revisão e aprovação explícita de Jardel Dargas Silva via Pull Request no Azure DevOps.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Baselines estabelecidas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Identificador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Módulo Metas/RV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Merge da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 de Jardel; aceite do Pacote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Pacote 1 — Azure DevOps Fruki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Módulo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PR #57 após revisão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Azure DevOps Fruki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Módulo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Merge da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feature/regra-de-ouro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Regra de Ouro — Azure DevOps Fruki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BL-04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Módulo PDV /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Merge da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feature/pdv-rota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PDV — Azure DevOps Fruki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BL-05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Release v2.0 (AAB)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versionado 2.0 gerado e entregue para publicação na Play Store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v2.0 — Azure DevOps Fruki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Controle de mudanças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Mudança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Solicitante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Aprovada por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CM-01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Renomeação da funcionalidade "Caixa Preta" para "Regra de Ouro" em toda a interface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nomenclatura de UX (sem impacto no escopo técnico)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 — Decisão 2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CM-02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dados de pedidos não alocados implementada no front-end (em vez de solicitar correção da API)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técnica de implementação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Luca Watson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 — Decisão 1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CM-03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do módulo Regra de Ouro sem custo adicional (estava fora do escopo original da proposta)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Ampliação de escopo sem impacto comercial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Tiago Nascimento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CR-FRUKI01-001; TAP-FRUKI01-002; Fireflies ID: HWwWGbMe3glWfXgl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Auditoria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auditado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documentos do Pacote 1 versionados conforme CONV-ORG-001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— versões 1.0 e 1.1 aplicadas corretamente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documentos do Pacote Final 24 versionados conforme CONV-ORG-001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— versão 1.0 em todos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entregue via PR revisada por Jardel em todas as branches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— PRs #57, Regra de Ouro e PDV aprovadas antes do merge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entregue e versionado corretamente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Conforme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versão 2.0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Pacote 1 (ICs, branches, baselines, mudanças)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Pacote Final 24 — branches, baselines BL-02 a BL-05, mudanças CM-01 a CM-03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da lista de ICs: ATAs expandidas de ATA-003 para ATA-007 (atas de validação de sprint e piloto)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 adicionado à lista de ICs; CM-03 atualizado com referência ao CR formal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05/06/2026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