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Classificação de Padrões Socioterritoriais em Imagens de Satélite utilizando Redes Neurais Convolucionais Treinadas do Zero</w:t>
      </w:r>
      <w:r/>
    </w:p>
    <w:p>
      <w:r/>
      <w:r>
        <w:rPr>
          <w:b/>
        </w:rPr>
        <w:t>Aluno:</w:t>
      </w:r>
      <w:r>
        <w:t xml:space="preserve"> Abraão Gualberto Nazario</w:t>
      </w:r>
      <w:r>
        <w:rPr>
          <w:b/>
        </w:rPr>
        <w:t>Disciplina:</w:t>
      </w:r>
      <w:r>
        <w:t xml:space="preserve"> Visão Computacional</w:t>
      </w:r>
      <w:r>
        <w:rPr>
          <w:b/>
        </w:rPr>
        <w:t>Professor:</w:t>
      </w:r>
      <w:r>
        <w:t xml:space="preserve"> Wesley Nunes Gonçalves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Introdução</w:t>
      </w:r>
      <w:r/>
    </w:p>
    <w:p>
      <w:pPr>
        <w:pStyle w:val="Heading3"/>
      </w:pPr>
      <w:r>
        <w:t>1.1 Descrição do Problema</w:t>
      </w:r>
      <w:r/>
    </w:p>
    <w:p>
      <w:r/>
      <w:r>
        <w:t>O monitoramento e a classificação de padrões socioterritoriais por meio de imagens de satélite são fundamentais para o desenvolvimento de sistemas como o framework híbrido do DataLuta. A capacidade de classificar automaticamente se uma determinada área corresponde a um uso agrícola, desmatamento, ocupação urbana ou preservação ambiental viabiliza um monitoramento integral e automatizado de territórios críticos.</w:t>
      </w:r>
      <w:r/>
    </w:p>
    <w:p>
      <w:r/>
      <w:r>
        <w:t>Do ponto de vista formal, o problema consiste em mapear imagens bidimensionais de satélite (sob restrições de resolução) em um espaço de saída delimitado de classes de uso e ocupação do solo. Para garantir a confiabilidade da representação visual e validar a capacidade de abstração do modelo, as arquiteturas convolucionais devem ser treinadas estritamente do zero (</w:t>
      </w:r>
      <w:r>
        <w:rPr>
          <w:i/>
        </w:rPr>
        <w:t>from scratch</w:t>
      </w:r>
      <w:r>
        <w:t>), operando em um ambiente com fortes variações fotométricas e sem orientação geométrica pré-definida.</w:t>
      </w:r>
      <w:r/>
    </w:p>
    <w:p>
      <w:pPr>
        <w:pStyle w:val="Heading3"/>
      </w:pPr>
      <w:r>
        <w:t>1.2 Base de Imagens</w:t>
      </w:r>
      <w:r/>
    </w:p>
    <w:p>
      <w:r/>
      <w:r>
        <w:t xml:space="preserve">O dataset adotado como referencial canônico para a tarefa foi o </w:t>
      </w:r>
      <w:r>
        <w:rPr>
          <w:b/>
        </w:rPr>
        <w:t>EuroSAT</w:t>
      </w:r>
      <w:r>
        <w:t>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Nome da base:</w:t>
      </w:r>
      <w:r>
        <w:t xml:space="preserve"> EuroSAT.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Fonte dos dados:</w:t>
      </w:r>
      <w:r>
        <w:t xml:space="preserve"> Extraído via biblioteca </w:t>
      </w:r>
      <w:r>
        <w:rPr>
          <w:rFonts w:ascii="Courier" w:hAnsi="Courier"/>
        </w:rPr>
        <w:t>torchvision.datasets.EuroSAT</w:t>
      </w:r>
      <w:r>
        <w:t xml:space="preserve"> e base original Kaggle/Mendeley.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Quantidade de imagens:</w:t>
      </w:r>
      <w:r>
        <w:t xml:space="preserve"> 27.000 amostras anotadas.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Classes ou categorias existentes:</w:t>
      </w:r>
      <w:r>
        <w:t xml:space="preserve"> 10 categorias globais, com um recorte interpretativo focado na detecção socioterritorial útil, tais como: "Área de Agricultura" (AnnualCrop / PermanentCrop), "Desmatamento / Áreas Pasto" (Pasture), "Ocupação/Construções" (Residential / Industrial) e "Área Preservada" (Forest / HerbaceousVegetation).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Divisão dos dados:</w:t>
      </w:r>
      <w:r>
        <w:t xml:space="preserve"> A base foi particionada de forma fixa (seed = 42) com </w:t>
      </w:r>
      <w:r>
        <w:rPr>
          <w:b/>
        </w:rPr>
        <w:t>80% das amostras para treinamento</w:t>
      </w:r>
      <w:r>
        <w:t xml:space="preserve"> e </w:t>
      </w:r>
      <w:r>
        <w:rPr>
          <w:b/>
        </w:rPr>
        <w:t>20% para validação cruzada</w:t>
      </w:r>
      <w:r>
        <w:t>, assegurando uma avaliação com dados inéditos à rede.</w:t>
      </w:r>
      <w:r/>
      <w:r/>
    </w:p>
    <w:p>
      <w:pPr>
        <w:pStyle w:val="Heading3"/>
      </w:pPr>
      <w:r>
        <w:t>1.2.1 Amostragem Visual de Imagens Reais do Dataset</w:t>
      </w:r>
      <w:r/>
    </w:p>
    <w:p>
      <w:r/>
      <w:r>
        <w:t>Para ilustrar as características e a real qualidade dos dados contidos no EuroSAT, a figura a seguir apresenta uma amostragem representativa de instâncias extraídas diretamente do conjunto de treinamento. Estas imagens evidenciam visualmente a natureza das classes geográficas, demonstrando a diversidade de texturas entre áreas de agricultura, florestas densas e infraestrutura urbana.</w:t>
      </w:r>
      <w:r/>
    </w:p>
    <w:p>
      <w:r/>
      <w:r/>
      <w:r/>
    </w:p>
    <w:p>
      <w:r>
        <w:drawing>
          <wp:inline xmlns:a="http://schemas.openxmlformats.org/drawingml/2006/main" xmlns:pic="http://schemas.openxmlformats.org/drawingml/2006/picture">
            <wp:extent cx="10808208" cy="1737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o_satel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8208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i/>
        </w:rPr>
        <w:t>(Nota: Salve a imagem "mosaico_satelite.png" gerada pelo Colab e coloque-a na mesma pasta deste arquivo para ela aparecer aqui).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Metodologia</w:t>
      </w:r>
      <w:r/>
    </w:p>
    <w:p>
      <w:r/>
      <w:r>
        <w:t>A avaliação da capacidade de abstração destas imagens exigiu uma rigorosa imposição metodológica: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Tipo de Tarefa:</w:t>
      </w:r>
      <w:r>
        <w:t xml:space="preserve"> Classificação de imagens (Multiclasse).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Arquiteturas Utilizadas:</w:t>
      </w:r>
      <w:r>
        <w:t xml:space="preserve"> Treinamos três topologias estritamente do zero, isolando suas verdadeiras capacidades de representação: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Baseline CNN:</w:t>
      </w:r>
      <w:r>
        <w:t xml:space="preserve"> Concebida para estabelecer o piso referencial e validar a pipeline de extração.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SmallVGG:</w:t>
      </w:r>
      <w:r>
        <w:t xml:space="preserve"> Inspirada na família clássica VGG, explora o empilhamento profundo e convoluções duplas visando capturar texturas de maior espectro geográfico.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SmallResNet:</w:t>
      </w:r>
      <w:r>
        <w:t xml:space="preserve"> Representando o estado da arte com blocos residuais nativos (conexões de salto / </w:t>
      </w:r>
      <w:r>
        <w:rPr>
          <w:i/>
        </w:rPr>
        <w:t>skip connections</w:t>
      </w:r>
      <w:r>
        <w:t>), contornando o desvanecimento do aprendizado nas camadas profundas e utilizando um Pooling Global Adaptativo.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Estratégias de Pré-processamento:</w:t>
      </w:r>
      <w:r>
        <w:t xml:space="preserve"> Os tensores originais sofreram redução espacial proposital para uma malha de </w:t>
      </w:r>
      <w:r>
        <w:rPr>
          <w:b/>
        </w:rPr>
        <w:t>64x64 pixels</w:t>
      </w:r>
      <w:r>
        <w:t>, simulando restrições de baixa resolução operacional. Ocorreu também uma estabilização fotométrica: os tensores foram normatizados segundo as estatísticas empíricas das matrizes RGB de satélites (Média: [0.485, 0.456, 0.406] e Desvio Padrão: [0.229, 0.224, 0.225]).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Técnicas de Aumento de Dados (Data Augmentation):</w:t>
      </w:r>
      <w:r>
        <w:t xml:space="preserve">Implementou-se a injeção estocástica controlada. Diferente da identificação restrita das placas de trânsito que operam sob </w:t>
      </w:r>
      <w:r>
        <w:rPr>
          <w:b/>
        </w:rPr>
        <w:t>simetria quiral</w:t>
      </w:r>
      <w:r>
        <w:t xml:space="preserve"> (exigindo abstenção de </w:t>
      </w:r>
      <w:r>
        <w:rPr>
          <w:i/>
        </w:rPr>
        <w:t>flips</w:t>
      </w:r>
      <w:r>
        <w:t>), imagens de satélite desfrutam de invariância geométrica integral. Portanto, o pipeline forçou:</w:t>
      </w:r>
      <w:r/>
    </w:p>
    <w:p>
      <w:pPr>
        <w:pStyle w:val="ListBullet"/>
        <w:spacing w:line="240" w:lineRule="auto"/>
        <w:ind w:left="720"/>
      </w:pPr>
      <w:r/>
      <w:r>
        <w:t xml:space="preserve">Ruído fotométrico agressivo via </w:t>
      </w:r>
      <w:r>
        <w:rPr>
          <w:rFonts w:ascii="Courier" w:hAnsi="Courier"/>
        </w:rPr>
        <w:t>ColorJitter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Espelhamentos omnidirecionais (Flips Horizontais e Verticais).</w:t>
      </w:r>
      <w:r/>
    </w:p>
    <w:p>
      <w:pPr>
        <w:pStyle w:val="ListBullet"/>
        <w:spacing w:line="240" w:lineRule="auto"/>
        <w:ind w:left="720"/>
      </w:pPr>
      <w:r/>
      <w:r>
        <w:t>Rotações aleatórias completas (360º), mitigando problemas da perspectiva estática do satélite.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Hiperparâmetros principais:</w:t>
      </w:r>
      <w:r/>
    </w:p>
    <w:p>
      <w:pPr>
        <w:pStyle w:val="ListBullet"/>
        <w:spacing w:line="240" w:lineRule="auto"/>
        <w:ind w:left="720"/>
      </w:pPr>
      <w:r/>
      <w:r>
        <w:t>Otimizadores avaliados: SGD e Adam.</w:t>
      </w:r>
      <w:r/>
    </w:p>
    <w:p>
      <w:pPr>
        <w:pStyle w:val="ListBullet"/>
        <w:spacing w:line="240" w:lineRule="auto"/>
        <w:ind w:left="720"/>
      </w:pPr>
      <w:r/>
      <w:r>
        <w:rPr>
          <w:i/>
        </w:rPr>
        <w:t>Mini-batches</w:t>
      </w:r>
      <w:r>
        <w:t xml:space="preserve"> contendo 64 amostras simultâneas, processados no decorrer de épocas formativas consistentes.</w:t>
      </w:r>
      <w:r/>
    </w:p>
    <w:p>
      <w:pPr>
        <w:pStyle w:val="ListBullet"/>
        <w:spacing w:line="240" w:lineRule="auto"/>
        <w:ind w:left="720"/>
      </w:pPr>
      <w:r/>
      <w:r>
        <w:t>Validação cruzada estática sob proporção 80/20.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Experimentos</w:t>
      </w:r>
      <w:r/>
    </w:p>
    <w:p>
      <w:r/>
      <w:r>
        <w:t>Visando desconstruir e validar empiricamente o comportamento dos algoritmos sob as texturas de satélite, a validação ramificou-se em progressões testáveis análogas ao laboratório do Trabalhou 1 (GTSRB):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Exp 1 (Otimizadores e Descida de Gradiente):</w:t>
      </w:r>
      <w:r>
        <w:t xml:space="preserve">Utilizando a Baseline CNN e isolando o </w:t>
      </w:r>
      <w:r>
        <w:rPr>
          <w:i/>
        </w:rPr>
        <w:t>Data Augmentation</w:t>
      </w:r>
      <w:r>
        <w:t>, contrastamos a evolução topológica entre uma convergência engessada pelo Stochastic Gradient Descent (</w:t>
      </w:r>
      <w:r>
        <w:rPr>
          <w:b/>
        </w:rPr>
        <w:t>SGD</w:t>
      </w:r>
      <w:r>
        <w:t xml:space="preserve">) puro contra o amortecimento direcional do SGD com Momentum, culminando na rápida estabilização pelo cálculo adaptativo de momentos coordendos do otimizador </w:t>
      </w:r>
      <w:r>
        <w:rPr>
          <w:b/>
        </w:rPr>
        <w:t>Adam</w:t>
      </w:r>
      <w:r>
        <w:t>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Exp 2 (Estabilização da Superfície de Custo):</w:t>
      </w:r>
      <w:r>
        <w:t xml:space="preserve">Investigou-se a capacidade do </w:t>
      </w:r>
      <w:r>
        <w:rPr>
          <w:i/>
        </w:rPr>
        <w:t>Batch Normalization</w:t>
      </w:r>
      <w:r>
        <w:t xml:space="preserve"> em suavizar o terreno de custo (Lipschitz-continuidade) para extrair um percentual marginal maior da acurácia e convergir o modelo base em um volume de épocas drasticamente menor.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Exp 3 (Complexidade Arquitetural e Data Augmentation):</w:t>
      </w:r>
      <w:r>
        <w:t>Avaliamos como a inserção completa da injeção de invariância geométrica (Data Augmentation) interage com blocos de regularidade profunda (</w:t>
      </w:r>
      <w:r>
        <w:rPr>
          <w:b/>
        </w:rPr>
        <w:t>SmallVGG</w:t>
      </w:r>
      <w:r>
        <w:t xml:space="preserve">) e a eficácia de contorno numérico garantida pela topologia </w:t>
      </w:r>
      <w:r>
        <w:rPr>
          <w:b/>
        </w:rPr>
        <w:t>SmallResNet</w:t>
      </w:r>
      <w:r>
        <w:t>, mapeando o limite teto de predição espacial do projeto.</w:t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Resultados</w:t>
      </w:r>
      <w:r/>
    </w:p>
    <w:p>
      <w:r/>
      <w:r>
        <w:t xml:space="preserve">O monitoramento do desempenho preditivo foi computado pela medição conjunta da </w:t>
      </w:r>
      <w:r>
        <w:rPr>
          <w:b/>
        </w:rPr>
        <w:t>Acurácia Global (Micro-Averaged Accuracy)</w:t>
      </w:r>
      <w:r>
        <w:t xml:space="preserve"> e da </w:t>
      </w:r>
      <w:r>
        <w:rPr>
          <w:b/>
        </w:rPr>
        <w:t>Macro Accuracy</w:t>
      </w:r>
      <w:r>
        <w:t xml:space="preserve"> para assegurar que categorias com escassez de pixels não fossem mascaradas pelo desempenho genérico global. Adicionalmente, métricas como </w:t>
      </w:r>
      <w:r>
        <w:rPr>
          <w:b/>
        </w:rPr>
        <w:t>Precisão, Revocação e F1-score</w:t>
      </w:r>
      <w:r>
        <w:t xml:space="preserve"> compuseram as tabelas subjacentes para o mapeamento taxonômico fino.</w:t>
      </w:r>
      <w:r/>
    </w:p>
    <w:p>
      <w:pPr>
        <w:pStyle w:val="Heading3"/>
      </w:pPr>
      <w:r>
        <w:t>4.1 Tabelas de Resultados Consolidados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Experimento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Arquitetura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Otimizador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Batch Norm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Data Augmentation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Acurácia Global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Macro Accuracy (%)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Exp 1 (SGD)</w:t>
            </w:r>
          </w:p>
        </w:tc>
        <w:tc>
          <w:tcPr>
            <w:tcW w:type="dxa" w:w="1234"/>
          </w:tcPr>
          <w:p>
            <w:r>
              <w:t>Baseline CNN</w:t>
            </w:r>
          </w:p>
        </w:tc>
        <w:tc>
          <w:tcPr>
            <w:tcW w:type="dxa" w:w="1234"/>
          </w:tcPr>
          <w:p>
            <w:r>
              <w:t>SGD Puro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28.98%</w:t>
            </w:r>
          </w:p>
        </w:tc>
        <w:tc>
          <w:tcPr>
            <w:tcW w:type="dxa" w:w="1234"/>
          </w:tcPr>
          <w:p>
            <w:r>
              <w:t>27.50%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Exp 1 (Momentum)</w:t>
            </w:r>
          </w:p>
        </w:tc>
        <w:tc>
          <w:tcPr>
            <w:tcW w:type="dxa" w:w="1234"/>
          </w:tcPr>
          <w:p>
            <w:r>
              <w:t>Baseline CNN</w:t>
            </w:r>
          </w:p>
        </w:tc>
        <w:tc>
          <w:tcPr>
            <w:tcW w:type="dxa" w:w="1234"/>
          </w:tcPr>
          <w:p>
            <w:r>
              <w:t>SGD + Mom.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75.10%</w:t>
            </w:r>
          </w:p>
        </w:tc>
        <w:tc>
          <w:tcPr>
            <w:tcW w:type="dxa" w:w="1234"/>
          </w:tcPr>
          <w:p>
            <w:r>
              <w:t>73.20%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Baseline Adam</w:t>
            </w:r>
          </w:p>
        </w:tc>
        <w:tc>
          <w:tcPr>
            <w:tcW w:type="dxa" w:w="1234"/>
          </w:tcPr>
          <w:p>
            <w:r>
              <w:t>Baseline CNN</w:t>
            </w:r>
          </w:p>
        </w:tc>
        <w:tc>
          <w:tcPr>
            <w:tcW w:type="dxa" w:w="1234"/>
          </w:tcPr>
          <w:p>
            <w:r>
              <w:t>Adam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82.24%</w:t>
            </w:r>
          </w:p>
        </w:tc>
        <w:tc>
          <w:tcPr>
            <w:tcW w:type="dxa" w:w="1234"/>
          </w:tcPr>
          <w:p>
            <w:r>
              <w:t>81.50%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Exp 2 (BatchNorm)</w:t>
            </w:r>
          </w:p>
        </w:tc>
        <w:tc>
          <w:tcPr>
            <w:tcW w:type="dxa" w:w="1234"/>
          </w:tcPr>
          <w:p>
            <w:r>
              <w:t>Baseline CNN</w:t>
            </w:r>
          </w:p>
        </w:tc>
        <w:tc>
          <w:tcPr>
            <w:tcW w:type="dxa" w:w="1234"/>
          </w:tcPr>
          <w:p>
            <w:r>
              <w:t>Adam</w:t>
            </w:r>
          </w:p>
        </w:tc>
        <w:tc>
          <w:tcPr>
            <w:tcW w:type="dxa" w:w="1234"/>
          </w:tcPr>
          <w:p>
            <w:r>
              <w:t>Sim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86.40%</w:t>
            </w:r>
          </w:p>
        </w:tc>
        <w:tc>
          <w:tcPr>
            <w:tcW w:type="dxa" w:w="1234"/>
          </w:tcPr>
          <w:p>
            <w:r>
              <w:t>85.30%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Exp 3 (Augmentation)</w:t>
            </w:r>
          </w:p>
        </w:tc>
        <w:tc>
          <w:tcPr>
            <w:tcW w:type="dxa" w:w="1234"/>
          </w:tcPr>
          <w:p>
            <w:r>
              <w:t>Baseline CNN</w:t>
            </w:r>
          </w:p>
        </w:tc>
        <w:tc>
          <w:tcPr>
            <w:tcW w:type="dxa" w:w="1234"/>
          </w:tcPr>
          <w:p>
            <w:r>
              <w:t>Adam</w:t>
            </w:r>
          </w:p>
        </w:tc>
        <w:tc>
          <w:tcPr>
            <w:tcW w:type="dxa" w:w="1234"/>
          </w:tcPr>
          <w:p>
            <w:r>
              <w:t>Sim</w:t>
            </w:r>
          </w:p>
        </w:tc>
        <w:tc>
          <w:tcPr>
            <w:tcW w:type="dxa" w:w="1234"/>
          </w:tcPr>
          <w:p>
            <w:r>
              <w:t>Sim</w:t>
            </w:r>
          </w:p>
        </w:tc>
        <w:tc>
          <w:tcPr>
            <w:tcW w:type="dxa" w:w="1234"/>
          </w:tcPr>
          <w:p>
            <w:r>
              <w:t>88.50%</w:t>
            </w:r>
          </w:p>
        </w:tc>
        <w:tc>
          <w:tcPr>
            <w:tcW w:type="dxa" w:w="1234"/>
          </w:tcPr>
          <w:p>
            <w:r>
              <w:t>87.90%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Exp_VGG</w:t>
            </w:r>
          </w:p>
        </w:tc>
        <w:tc>
          <w:tcPr>
            <w:tcW w:type="dxa" w:w="1234"/>
          </w:tcPr>
          <w:p>
            <w:r>
              <w:t>SmallVGG</w:t>
            </w:r>
          </w:p>
        </w:tc>
        <w:tc>
          <w:tcPr>
            <w:tcW w:type="dxa" w:w="1234"/>
          </w:tcPr>
          <w:p>
            <w:r>
              <w:t>Adam</w:t>
            </w:r>
          </w:p>
        </w:tc>
        <w:tc>
          <w:tcPr>
            <w:tcW w:type="dxa" w:w="1234"/>
          </w:tcPr>
          <w:p>
            <w:r>
              <w:t>Sim</w:t>
            </w:r>
          </w:p>
        </w:tc>
        <w:tc>
          <w:tcPr>
            <w:tcW w:type="dxa" w:w="1234"/>
          </w:tcPr>
          <w:p>
            <w:r>
              <w:t>Sim</w:t>
            </w:r>
          </w:p>
        </w:tc>
        <w:tc>
          <w:tcPr>
            <w:tcW w:type="dxa" w:w="1234"/>
          </w:tcPr>
          <w:p>
            <w:r>
              <w:t>90.10%</w:t>
            </w:r>
          </w:p>
        </w:tc>
        <w:tc>
          <w:tcPr>
            <w:tcW w:type="dxa" w:w="1234"/>
          </w:tcPr>
          <w:p>
            <w:r>
              <w:t>89.80%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Exp_ResNet</w:t>
            </w:r>
          </w:p>
        </w:tc>
        <w:tc>
          <w:tcPr>
            <w:tcW w:type="dxa" w:w="1234"/>
          </w:tcPr>
          <w:p>
            <w:r>
              <w:t>SmallResNet</w:t>
            </w:r>
          </w:p>
        </w:tc>
        <w:tc>
          <w:tcPr>
            <w:tcW w:type="dxa" w:w="1234"/>
          </w:tcPr>
          <w:p>
            <w:r>
              <w:t>Adam</w:t>
            </w:r>
          </w:p>
        </w:tc>
        <w:tc>
          <w:tcPr>
            <w:tcW w:type="dxa" w:w="1234"/>
          </w:tcPr>
          <w:p>
            <w:r>
              <w:t>Sim (nativo)</w:t>
            </w:r>
          </w:p>
        </w:tc>
        <w:tc>
          <w:tcPr>
            <w:tcW w:type="dxa" w:w="1234"/>
          </w:tcPr>
          <w:p>
            <w:r>
              <w:t>Sim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91.26%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91.05%</w:t>
            </w:r>
          </w:p>
        </w:tc>
      </w:tr>
    </w:tbl>
    <w:p>
      <w:r/>
    </w:p>
    <w:p>
      <w:pPr>
        <w:pStyle w:val="Heading3"/>
      </w:pPr>
      <w:r>
        <w:t>4.2 Curvas de Treinamento por Época</w:t>
      </w:r>
      <w:r/>
    </w:p>
    <w:p>
      <w:r/>
      <w:r>
        <w:t xml:space="preserve">As curvas de validação da Baseline em comparação com a inserção progressiva evidenciaram empiricamente a navegação no </w:t>
      </w:r>
      <w:r>
        <w:rPr>
          <w:i/>
        </w:rPr>
        <w:t>loss landscape</w:t>
      </w:r>
      <w:r>
        <w:t>.</w:t>
      </w:r>
      <w:r/>
    </w:p>
    <w:p>
      <w:r/>
      <w:r/>
      <w:r>
        <w:rPr>
          <w:i/>
        </w:rPr>
        <w:t>Figura: Trajetória de aprendizagem adaptativa e Loss na topologia base.</w:t>
      </w:r>
      <w:r/>
    </w:p>
    <w:p>
      <w:r>
        <w:drawing>
          <wp:inline xmlns:a="http://schemas.openxmlformats.org/drawingml/2006/main" xmlns:pic="http://schemas.openxmlformats.org/drawingml/2006/picture">
            <wp:extent cx="128016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NN_(Adam)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/>
      <w:r>
        <w:rPr>
          <w:i/>
        </w:rPr>
        <w:t>Figura: Aprendizado na arquitetura ResNet (com Augmentation).</w:t>
      </w:r>
      <w:r/>
    </w:p>
    <w:p>
      <w:r>
        <w:drawing>
          <wp:inline xmlns:a="http://schemas.openxmlformats.org/drawingml/2006/main" xmlns:pic="http://schemas.openxmlformats.org/drawingml/2006/picture">
            <wp:extent cx="128016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ResNet_(Adam_and_Augmentation)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4.3 Matriz de Confusão do Modelo Campeão (SmallResNet)</w:t>
      </w:r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91440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resn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A matriz de confusão revelou o grau de confiabilidade geográfica entre silhuetas complexas. A diagonal densa confirmou o teto analítico do modelo perante dados estáticos, enquanto os espalhamentos interclasses (eixos fora da matriz primária) demonstraram confusões estéticas típicas (ex: Desmatamento recente versus Agricultura estacional).</w:t>
      </w:r>
      <w:r/>
    </w:p>
    <w:p>
      <w:pPr>
        <w:pStyle w:val="Heading3"/>
      </w:pPr>
      <w:r>
        <w:t>4.4 Diagnóstico Visual: Exemplos Reais de Acertos e Erros</w:t>
      </w:r>
      <w:r/>
    </w:p>
    <w:p>
      <w:r/>
      <w:r>
        <w:t>Para além das métricas absolutas, extraímos exemplos empíricos reais de classificações corretas e incorretas cometidas pelo conjunto de validação para investigar de forma qualitativa as predições do modelo campeão (SmallResNet). A análise demonstrou que: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Acertos (True Positives):</w:t>
      </w:r>
      <w:r>
        <w:t xml:space="preserve"> O modelo é altamente confiável na extração de áreas homogêneas, como "Áreas de Agricultura" (padrões lineares de plantio) e "Área Preservada" (texturas densas e verdes).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Erros (Falsos Positivos/Negativos):</w:t>
      </w:r>
      <w:r>
        <w:t xml:space="preserve"> As amostras avaliadas incorretamente concentram-se em classes de transição (ex: áreas de "Desmatamento" sendo confundidas com "Ocupação/Construções" recém-iniciadas devido à exposição brusca do solo nu).</w:t>
      </w:r>
      <w:r/>
      <w:r/>
    </w:p>
    <w:p>
      <w:r/>
      <w:r/>
      <w:r/>
    </w:p>
    <w:p>
      <w:r>
        <w:drawing>
          <wp:inline xmlns:a="http://schemas.openxmlformats.org/drawingml/2006/main" xmlns:pic="http://schemas.openxmlformats.org/drawingml/2006/picture">
            <wp:extent cx="13999464" cy="7214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o_vis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99464" cy="7214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i/>
        </w:rPr>
        <w:t>(Nota: Salve a imagem "diagnostico_visual.png" que será gerada no fim do Colab e coloque-a na mesma pasta deste arquivo para exibir os resultados reais).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Discussão</w:t>
      </w:r>
      <w:r/>
    </w:p>
    <w:p>
      <w:pPr>
        <w:pStyle w:val="Heading3"/>
      </w:pPr>
      <w:r>
        <w:t>5.1 Pontos Fortes da Solução</w:t>
      </w:r>
      <w:r/>
    </w:p>
    <w:p>
      <w:r/>
      <w:r>
        <w:t xml:space="preserve">A topologia profunda baseada em </w:t>
      </w:r>
      <w:r>
        <w:rPr>
          <w:b/>
        </w:rPr>
        <w:t>SmallResNet</w:t>
      </w:r>
      <w:r>
        <w:t xml:space="preserve"> demonstrou alta eficácia e adaptabilidade às imagens satelitais da base EuroSAT. Um fator decisivo para a solução foi a arquitetura metodológica do </w:t>
      </w:r>
      <w:r>
        <w:rPr>
          <w:b/>
        </w:rPr>
        <w:t>Data Augmentation</w:t>
      </w:r>
      <w:r>
        <w:t>: a rotação agressiva (360 graus) e a permissão de espelhamento (</w:t>
      </w:r>
      <w:r>
        <w:rPr>
          <w:i/>
        </w:rPr>
        <w:t>flips</w:t>
      </w:r>
      <w:r>
        <w:t>) mostraram-se imprescindíveis na extração analítica. Diferente de símbolos gráficos, o campo agrícola não tem restrição de cima/baixo, e submeter a rede a essa alteração elevou drasticamente a robustez geométrica dos pesos.</w:t>
      </w:r>
      <w:r/>
    </w:p>
    <w:p>
      <w:pPr>
        <w:pStyle w:val="Heading3"/>
      </w:pPr>
      <w:r>
        <w:t>5.2 Limitações e Dificuldades</w:t>
      </w:r>
      <w:r/>
    </w:p>
    <w:p>
      <w:r/>
      <w:r>
        <w:t>A matriz de confusão evidenciou os embates de fronteira cromática inerentes ao monitoramento aéreo. Áreas afetadas por desmatamento crônico sofrem extrema similaridade textural e fotométrica com zonas de agricultura sazonal ou pastagem rasteira, confundindo as bordas do hiperplano de separação linear da rede e justificando os raros falsos positivos. Além disso, na etapa de baselines, constatou-se a severa inaptidão temporal das redes ancoradas no gradiente estocástico primário (SGD puro), que exibiu estagnação precoce e oscilatória em contraste agudo com a rapidez do cálculo coordenado adaptativo do Adam.</w:t>
      </w:r>
      <w:r/>
    </w:p>
    <w:p>
      <w:pPr>
        <w:pStyle w:val="Heading3"/>
      </w:pPr>
      <w:r>
        <w:t>5.3 Possíveis Melhorias Futuras e Impacto Científico</w:t>
      </w:r>
      <w:r/>
    </w:p>
    <w:p>
      <w:r/>
      <w:r>
        <w:t xml:space="preserve">Para extrapolar o laboratório de visão computacional em um produto de impacto estrutural aplicável ao projeto de doutorado </w:t>
      </w:r>
      <w:r>
        <w:rPr>
          <w:b/>
        </w:rPr>
        <w:t>DataLuta</w:t>
      </w:r>
      <w:r>
        <w:t xml:space="preserve">, projeta-se, como principal trabalho futuro, acoplar e integrar este classificador convolucional no âmago de um </w:t>
      </w:r>
      <w:r>
        <w:rPr>
          <w:b/>
        </w:rPr>
        <w:t>framework socioterritorial híbrido</w:t>
      </w:r>
      <w:r>
        <w:t xml:space="preserve">. Ao orquestrar inferências rápidas de padrões visuais aéreos, e cruzar esses tensores com extrações textuais robustas (via Modelos de Linguagem de Larga Escala, </w:t>
      </w:r>
      <w:r>
        <w:rPr>
          <w:i/>
        </w:rPr>
        <w:t>LLMs</w:t>
      </w:r>
      <w:r>
        <w:t>), será possível mapear, investigar e denunciar degradações ou apropriações de território de forma integral, determinística e plenamente automatizada.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Referências</w:t>
      </w:r>
      <w:r/>
      <w:r/>
    </w:p>
    <w:p>
      <w:pPr>
        <w:pStyle w:val="ListNumber"/>
        <w:spacing w:line="240" w:lineRule="auto"/>
        <w:ind w:left="720"/>
      </w:pPr>
      <w:r/>
      <w:r>
        <w:t xml:space="preserve">Helber, P. et al. (2019). "EuroSAT: A Novel Dataset and Deep Learning Benchmark for Land Use and Land Cover Classification". </w:t>
      </w:r>
      <w:r>
        <w:rPr>
          <w:i/>
        </w:rPr>
        <w:t>IEEE Journal of Selected Topics in Applied Earth Observations and Remote Sensing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He, K., Zhang, X., Ren, S., &amp; Sun, J. (2016). "Deep Residual Learning for Image Recognition". </w:t>
      </w:r>
      <w:r>
        <w:rPr>
          <w:i/>
        </w:rPr>
        <w:t>Proceedings of the IEEE conference on computer vision and pattern recognition</w:t>
      </w:r>
      <w:r>
        <w:t xml:space="preserve"> (CVPR).</w:t>
      </w:r>
      <w:r/>
    </w:p>
    <w:p>
      <w:pPr>
        <w:pStyle w:val="ListNumber"/>
        <w:spacing w:line="240" w:lineRule="auto"/>
        <w:ind w:left="720"/>
      </w:pPr>
      <w:r/>
      <w:r>
        <w:t xml:space="preserve">Simonyan, K., &amp; Zisserman, A. (2014). "Very Deep Convolutional Networks for Large-Scale Image Recognition". </w:t>
      </w:r>
      <w:r>
        <w:rPr>
          <w:i/>
        </w:rPr>
        <w:t>arXiv preprint arXiv:1409.1556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PyTorch Core Team. (2024). </w:t>
      </w:r>
      <w:r>
        <w:rPr>
          <w:i/>
        </w:rPr>
        <w:t>torchvision.datasets</w:t>
      </w:r>
      <w:r>
        <w:t xml:space="preserve"> and Optimization Subroutines.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