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SWTID1741152566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4395"/>
        <w:tblGridChange w:id="0">
          <w:tblGrid>
            <w:gridCol w:w="2010"/>
            <w:gridCol w:w="439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59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ABRAHAM BILL CLINTON 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SHABIN T 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DINESH 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HARISH B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AKASH J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6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Homepage loads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the Navbar, About, Hero, Search components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an Exercise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 2. Click search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exercises should be displayed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Body Part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body part from the filter 2. View filtered exercises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for the selected body part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 by Equipment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an equipment type 2. View filtered exercises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Exercises should be displayed based on selected equipment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Exercise Details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an exercise 2. View details (GIF, instructions, muscles targeted)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Playlist should be created successfully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6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loading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Observe incorrect results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+rwVUanJ4YRTwka1eX6WWoSMWQ==">CgMxLjA4AHIhMU56cjlNT3JmeWFMZ1pfZzdkOGVSWHVBdkViRWJBR2tB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