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8e87843dbc65131d0bb00755a8da5032f15e49"/>
      <w:r>
        <w:t xml:space="preserve">Guía de documentación del proyecto — referencias y método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2026-06-11</w:t>
            </w:r>
          </w:p>
        </w:tc>
      </w:tr>
    </w:tbl>
    <w:p>
      <w:pPr>
        <w:pStyle w:val="BlockText"/>
      </w:pPr>
      <w:r>
        <w:t xml:space="preserve">Reúne los</w:t>
      </w:r>
      <w:r>
        <w:t xml:space="preserve"> </w:t>
      </w:r>
      <w:r>
        <w:rPr>
          <w:b/>
        </w:rPr>
        <w:t xml:space="preserve">estándares y libros de referencia</w:t>
      </w:r>
      <w:r>
        <w:t xml:space="preserve"> </w:t>
      </w:r>
      <w:r>
        <w:t xml:space="preserve">sobre cómo documentar proyectos que combinan</w:t>
      </w:r>
      <w:r>
        <w:t xml:space="preserve"> </w:t>
      </w:r>
      <w:r>
        <w:t xml:space="preserve">hardware, firmware y sistemas, y mapea cada uno con la forma en que ya está organizada esta</w:t>
      </w:r>
      <w:r>
        <w:t xml:space="preserve"> </w:t>
      </w:r>
      <w:r>
        <w:t xml:space="preserve">documentación. Objetivo: avanzar de forma incremental sin perder trazabilidad.</w:t>
      </w:r>
    </w:p>
    <w:p>
      <w:pPr>
        <w:pStyle w:val="Heading2"/>
      </w:pPr>
      <w:bookmarkStart w:id="21" w:name="marco-adoptado-y-su-procedencia"/>
      <w:r>
        <w:t xml:space="preserve">1. Marco adoptado y su procedencia</w:t>
      </w:r>
      <w:bookmarkEnd w:id="21"/>
    </w:p>
    <w:p>
      <w:pPr>
        <w:pStyle w:val="FirstParagraph"/>
      </w:pPr>
      <w:r>
        <w:t xml:space="preserve">El método de este repositorio —</w:t>
      </w:r>
      <w:r>
        <w:rPr>
          <w:b/>
        </w:rPr>
        <w:t xml:space="preserve">V-Model + fases NPI + docs-as-code + ADR</w:t>
      </w:r>
      <w:r>
        <w:t xml:space="preserve">— no es arbitrario;</w:t>
      </w:r>
      <w:r>
        <w:t xml:space="preserve"> </w:t>
      </w:r>
      <w:r>
        <w:t xml:space="preserve">combina prácticas establecidas: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Ciclo de vida e ingeniería de sistemas:</w:t>
      </w:r>
      <w:r>
        <w:t xml:space="preserve"> </w:t>
      </w:r>
      <w:r>
        <w:t xml:space="preserve">INCOSE SE Handbook [R23] e ISO/IEC/IEEE 15288 [R24].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Qué documentos deben existir:</w:t>
      </w:r>
      <w:r>
        <w:t xml:space="preserve"> </w:t>
      </w:r>
      <w:r>
        <w:t xml:space="preserve">ISO/IEC/IEEE 15289 (ítems de información del ciclo de vida) [R26].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Requisitos verificables y trazables:</w:t>
      </w:r>
      <w:r>
        <w:t xml:space="preserve"> </w:t>
      </w:r>
      <w:r>
        <w:t xml:space="preserve">ISO/IEC/IEEE 29148 [R25].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Compuertas de revisión (PDR/CDR ≈ EVT/DVT/PVT):</w:t>
      </w:r>
      <w:r>
        <w:t xml:space="preserve"> </w:t>
      </w:r>
      <w:r>
        <w:t xml:space="preserve">prácticas de NASA/aeroespacial [R27].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Arquitectura y diagramas:</w:t>
      </w:r>
      <w:r>
        <w:t xml:space="preserve"> </w:t>
      </w:r>
      <w:r>
        <w:t xml:space="preserve">“</w:t>
      </w:r>
      <w:r>
        <w:t xml:space="preserve">Documenting Software Architectures</w:t>
      </w:r>
      <w:r>
        <w:t xml:space="preserve">”</w:t>
      </w:r>
      <w:r>
        <w:t xml:space="preserve"> </w:t>
      </w:r>
      <w:r>
        <w:t xml:space="preserve">[R29], arc42 y C4 [R30].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Decisiones:</w:t>
      </w:r>
      <w:r>
        <w:t xml:space="preserve"> </w:t>
      </w:r>
      <w:r>
        <w:t xml:space="preserve">Architecture Decision Records (Nygard) [R31].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Firmware/embebido:</w:t>
      </w:r>
      <w:r>
        <w:t xml:space="preserve"> </w:t>
      </w:r>
      <w:r>
        <w:t xml:space="preserve">“</w:t>
      </w:r>
      <w:r>
        <w:t xml:space="preserve">Making Embedded Systems</w:t>
      </w:r>
      <w:r>
        <w:t xml:space="preserve">”</w:t>
      </w:r>
      <w:r>
        <w:t xml:space="preserve"> </w:t>
      </w:r>
      <w:r>
        <w:t xml:space="preserve">[R28].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Escritura técnica y docs-as-code:</w:t>
      </w:r>
      <w:r>
        <w:t xml:space="preserve"> </w:t>
      </w:r>
      <w:r>
        <w:t xml:space="preserve">“</w:t>
      </w:r>
      <w:r>
        <w:t xml:space="preserve">Docs for Developers</w:t>
      </w:r>
      <w:r>
        <w:t xml:space="preserve">”</w:t>
      </w:r>
      <w:r>
        <w:t xml:space="preserve"> </w:t>
      </w:r>
      <w:r>
        <w:t xml:space="preserve">[R32] y guías de Google [R33].</w:t>
      </w:r>
    </w:p>
    <w:p>
      <w:pPr>
        <w:pStyle w:val="Heading2"/>
      </w:pPr>
      <w:bookmarkStart w:id="22" w:name="referencias-por-disciplina"/>
      <w:r>
        <w:t xml:space="preserve">2. Referencias por disciplina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Disciplina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aporta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Dónde lo aplicamos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Sistemas / ciclo de vida</w:t>
            </w:r>
          </w:p>
        </w:tc>
        <w:tc>
          <w:p>
            <w:pPr>
              <w:pStyle w:val="Compact"/>
              <w:jc w:val="left"/>
            </w:pPr>
            <w:r>
              <w:t xml:space="preserve">INCOSE SE Handbook, 5.ª ed. [R23]; ISO 15288 [R24]</w:t>
            </w:r>
          </w:p>
        </w:tc>
        <w:tc>
          <w:p>
            <w:pPr>
              <w:pStyle w:val="Compact"/>
              <w:jc w:val="left"/>
            </w:pPr>
            <w:r>
              <w:t xml:space="preserve">Procesos del ciclo de vida, V-Model</w:t>
            </w:r>
          </w:p>
        </w:tc>
        <w:tc>
          <w:p>
            <w:pPr>
              <w:pStyle w:val="Compact"/>
              <w:jc w:val="left"/>
            </w:pPr>
            <w:r>
              <w:t xml:space="preserve">Estructura de fases 01→08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Documentos requeridos</w:t>
            </w:r>
          </w:p>
        </w:tc>
        <w:tc>
          <w:p>
            <w:pPr>
              <w:pStyle w:val="Compact"/>
              <w:jc w:val="left"/>
            </w:pPr>
            <w:r>
              <w:t xml:space="preserve">ISO 15289 [R26]</w:t>
            </w:r>
          </w:p>
        </w:tc>
        <w:tc>
          <w:p>
            <w:pPr>
              <w:pStyle w:val="Compact"/>
              <w:jc w:val="left"/>
            </w:pPr>
            <w:r>
              <w:t xml:space="preserve">Lista de ítems de información a generar</w:t>
            </w:r>
          </w:p>
        </w:tc>
        <w:tc>
          <w:p>
            <w:pPr>
              <w:pStyle w:val="Compact"/>
              <w:jc w:val="left"/>
            </w:pPr>
            <w:r>
              <w:t xml:space="preserve">Catálogo del tablero de seguimiento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Requisitos</w:t>
            </w:r>
          </w:p>
        </w:tc>
        <w:tc>
          <w:p>
            <w:pPr>
              <w:pStyle w:val="Compact"/>
              <w:jc w:val="left"/>
            </w:pPr>
            <w:r>
              <w:t xml:space="preserve">ISO 29148 [R25]</w:t>
            </w:r>
          </w:p>
        </w:tc>
        <w:tc>
          <w:p>
            <w:pPr>
              <w:pStyle w:val="Compact"/>
              <w:jc w:val="left"/>
            </w:pPr>
            <w:r>
              <w:t xml:space="preserve">Cómo redactar requisitos verificables y trazables</w:t>
            </w:r>
          </w:p>
        </w:tc>
        <w:tc>
          <w:p>
            <w:pPr>
              <w:pStyle w:val="Compact"/>
              <w:jc w:val="left"/>
            </w:pPr>
            <w:r>
              <w:t xml:space="preserve">Carpeta de requisitos + matriz de trazabilidad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Revisiones de diseño</w:t>
            </w:r>
          </w:p>
        </w:tc>
        <w:tc>
          <w:p>
            <w:pPr>
              <w:pStyle w:val="Compact"/>
              <w:jc w:val="left"/>
            </w:pPr>
            <w:r>
              <w:t xml:space="preserve">NASA SE Handbook [R27]</w:t>
            </w:r>
          </w:p>
        </w:tc>
        <w:tc>
          <w:p>
            <w:pPr>
              <w:pStyle w:val="Compact"/>
              <w:jc w:val="left"/>
            </w:pPr>
            <w:r>
              <w:t xml:space="preserve">Compuertas PDR/CDR con criterios de entrada/salida</w:t>
            </w:r>
          </w:p>
        </w:tc>
        <w:tc>
          <w:p>
            <w:pPr>
              <w:pStyle w:val="Compact"/>
              <w:jc w:val="left"/>
            </w:pPr>
            <w:r>
              <w:t xml:space="preserve">Compuertas EVT/DVT/PVT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Arquitectura</w:t>
            </w:r>
          </w:p>
        </w:tc>
        <w:tc>
          <w:p>
            <w:pPr>
              <w:pStyle w:val="Compact"/>
              <w:jc w:val="left"/>
            </w:pPr>
            <w:r>
              <w:t xml:space="preserve">Clements et al. [R29]; arc42 + C4 [R30]</w:t>
            </w:r>
          </w:p>
        </w:tc>
        <w:tc>
          <w:p>
            <w:pPr>
              <w:pStyle w:val="Compact"/>
              <w:jc w:val="left"/>
            </w:pPr>
            <w:r>
              <w:t xml:space="preserve">Vistas, plantilla y diagramas de bloques/contenedores</w:t>
            </w:r>
          </w:p>
        </w:tc>
        <w:tc>
          <w:p>
            <w:pPr>
              <w:pStyle w:val="Compact"/>
              <w:jc w:val="left"/>
            </w:pPr>
            <w:r>
              <w:t xml:space="preserve">Carpeta de arquitectura y diagramas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Decisiones</w:t>
            </w:r>
          </w:p>
        </w:tc>
        <w:tc>
          <w:p>
            <w:pPr>
              <w:pStyle w:val="Compact"/>
              <w:jc w:val="left"/>
            </w:pPr>
            <w:r>
              <w:t xml:space="preserve">ADR — Nygard [R31]</w:t>
            </w:r>
          </w:p>
        </w:tc>
        <w:tc>
          <w:p>
            <w:pPr>
              <w:pStyle w:val="Compact"/>
              <w:jc w:val="left"/>
            </w:pPr>
            <w:r>
              <w:t xml:space="preserve">Registrar decisiones de forma ligera e inmutable</w:t>
            </w:r>
          </w:p>
        </w:tc>
        <w:tc>
          <w:p>
            <w:pPr>
              <w:pStyle w:val="Compact"/>
              <w:jc w:val="left"/>
            </w:pPr>
            <w:r>
              <w:t xml:space="preserve">Registro de decisiones (ADR)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p>
            <w:pPr>
              <w:pStyle w:val="Compact"/>
              <w:jc w:val="left"/>
            </w:pPr>
            <w:r>
              <w:t xml:space="preserve">White,</w:t>
            </w:r>
            <w:r>
              <w:t xml:space="preserve"> </w:t>
            </w:r>
            <w:r>
              <w:t xml:space="preserve">“</w:t>
            </w:r>
            <w:r>
              <w:t xml:space="preserve">Making Embedded Systems</w:t>
            </w:r>
            <w:r>
              <w:t xml:space="preserve">”</w:t>
            </w:r>
            <w:r>
              <w:t xml:space="preserve"> </w:t>
            </w:r>
            <w:r>
              <w:t xml:space="preserve">[R28]</w:t>
            </w:r>
          </w:p>
        </w:tc>
        <w:tc>
          <w:p>
            <w:pPr>
              <w:pStyle w:val="Compact"/>
              <w:jc w:val="left"/>
            </w:pPr>
            <w:r>
              <w:t xml:space="preserve">Patrones de diseño, gestión de energía, OTA</w:t>
            </w:r>
          </w:p>
        </w:tc>
        <w:tc>
          <w:p>
            <w:pPr>
              <w:pStyle w:val="Compact"/>
              <w:jc w:val="left"/>
            </w:pPr>
            <w:r>
              <w:t xml:space="preserve">Carpeta de firmware/software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Diseño de software</w:t>
            </w:r>
          </w:p>
        </w:tc>
        <w:tc>
          <w:p>
            <w:pPr>
              <w:pStyle w:val="Compact"/>
              <w:jc w:val="left"/>
            </w:pPr>
            <w:r>
              <w:t xml:space="preserve">IEEE 1016 (SDD) [R34]</w:t>
            </w:r>
          </w:p>
        </w:tc>
        <w:tc>
          <w:p>
            <w:pPr>
              <w:pStyle w:val="Compact"/>
              <w:jc w:val="left"/>
            </w:pPr>
            <w:r>
              <w:t xml:space="preserve">Estructura de la descripción de diseño</w:t>
            </w:r>
          </w:p>
        </w:tc>
        <w:tc>
          <w:p>
            <w:pPr>
              <w:pStyle w:val="Compact"/>
              <w:jc w:val="left"/>
            </w:pPr>
            <w:r>
              <w:t xml:space="preserve">Arquitectura de firmware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Escritura técnica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Docs for Developers</w:t>
            </w:r>
            <w:r>
              <w:t xml:space="preserve">”</w:t>
            </w:r>
            <w:r>
              <w:t xml:space="preserve"> </w:t>
            </w:r>
            <w:r>
              <w:t xml:space="preserve">[R32]; Google [R33]</w:t>
            </w:r>
          </w:p>
        </w:tc>
        <w:tc>
          <w:p>
            <w:pPr>
              <w:pStyle w:val="Compact"/>
              <w:jc w:val="left"/>
            </w:pPr>
            <w:r>
              <w:t xml:space="preserve">Cómo escribir, medir y mantener documentación</w:t>
            </w:r>
          </w:p>
        </w:tc>
        <w:tc>
          <w:p>
            <w:pPr>
              <w:pStyle w:val="Compact"/>
              <w:jc w:val="left"/>
            </w:pPr>
            <w:r>
              <w:t xml:space="preserve">Convenciones del repositorio</w:t>
            </w:r>
          </w:p>
        </w:tc>
      </w:tr>
    </w:tbl>
    <w:p>
      <w:pPr>
        <w:pStyle w:val="Heading2"/>
      </w:pPr>
      <w:bookmarkStart w:id="23" w:name="checklist-mínimo-para-no-perder-avances"/>
      <w:r>
        <w:t xml:space="preserve">3. Checklist mínimo para no perder avances</w:t>
      </w:r>
      <w:bookmarkEnd w:id="23"/>
    </w:p>
    <w:p>
      <w:pPr>
        <w:pStyle w:val="FirstParagraph"/>
      </w:pPr>
      <w:r>
        <w:t xml:space="preserve">Por cada avance (un cálculo, una prueba, un cambio de diseño), registrar: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Qué requisito</w:t>
      </w:r>
      <w:r>
        <w:t xml:space="preserve"> </w:t>
      </w:r>
      <w:r>
        <w:t xml:space="preserve">afecta o satisface (ID</w:t>
      </w:r>
      <w:r>
        <w:t xml:space="preserve"> </w:t>
      </w:r>
      <w:r>
        <w:rPr>
          <w:rStyle w:val="VerbatimChar"/>
        </w:rPr>
        <w:t xml:space="preserve">REQ-…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Qué decisión</w:t>
      </w:r>
      <w:r>
        <w:t xml:space="preserve"> </w:t>
      </w:r>
      <w:r>
        <w:t xml:space="preserve">se tomó, si aplica → nuevo</w:t>
      </w:r>
      <w:r>
        <w:t xml:space="preserve"> </w:t>
      </w:r>
      <w:r>
        <w:rPr>
          <w:rStyle w:val="VerbatimChar"/>
        </w:rPr>
        <w:t xml:space="preserve">ADR-…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 evidencia o dato</w:t>
      </w:r>
      <w:r>
        <w:t xml:space="preserve"> </w:t>
      </w:r>
      <w:r>
        <w:t xml:space="preserve">generado (medición, cálculo, gráfico) en su carpeta de disciplina.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Qué prueba</w:t>
      </w:r>
      <w:r>
        <w:t xml:space="preserve"> </w:t>
      </w:r>
      <w:r>
        <w:t xml:space="preserve">lo valida (ID</w:t>
      </w:r>
      <w:r>
        <w:t xml:space="preserve"> </w:t>
      </w:r>
      <w:r>
        <w:rPr>
          <w:rStyle w:val="VerbatimChar"/>
        </w:rPr>
        <w:t xml:space="preserve">TC-…</w:t>
      </w:r>
      <w:r>
        <w:t xml:space="preserve">) y su resultado.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Actualizar el estado</w:t>
      </w:r>
      <w:r>
        <w:t xml:space="preserve"> </w:t>
      </w:r>
      <w:r>
        <w:t xml:space="preserve">en el tablero de seguimiento.</w:t>
      </w:r>
    </w:p>
    <w:p>
      <w:pPr>
        <w:pStyle w:val="FirstParagraph"/>
      </w:pPr>
      <w:r>
        <w:t xml:space="preserve">Si los cinco puntos quedan registrados, ningún avance se pierde y la trazabilidad</w:t>
      </w:r>
      <w:r>
        <w:t xml:space="preserve"> </w:t>
      </w:r>
      <w:r>
        <w:t xml:space="preserve">requisito → diseño → prueba se mantiene intacta.</w:t>
      </w:r>
    </w:p>
    <w:p>
      <w:pPr>
        <w:pStyle w:val="Heading2"/>
      </w:pPr>
      <w:bookmarkStart w:id="24" w:name="lectura-prioritaria"/>
      <w:r>
        <w:t xml:space="preserve">4. Lectura prioritaria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Docs for Developers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[R32]</w:t>
      </w:r>
      <w:r>
        <w:t xml:space="preserve"> </w:t>
      </w:r>
      <w:r>
        <w:t xml:space="preserve">— práctica inmediata de cómo escribir y mantener la documentación.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arc42 + C4 [R30]</w:t>
      </w:r>
      <w:r>
        <w:t xml:space="preserve"> </w:t>
      </w:r>
      <w:r>
        <w:t xml:space="preserve">— plantilla y diagramas de arquitectura (gratuitos en línea).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INCOSE SE Handbook [R23]</w:t>
      </w:r>
      <w:r>
        <w:t xml:space="preserve"> </w:t>
      </w:r>
      <w:r>
        <w:t xml:space="preserve">(capítulos de procesos y revisiones) — marco de ciclo de vida.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Making Embedded Systems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[R28]</w:t>
      </w:r>
      <w:r>
        <w:t xml:space="preserve"> </w:t>
      </w:r>
      <w:r>
        <w:t xml:space="preserve">— referencia para la fase de firmware.</w:t>
      </w:r>
    </w:p>
    <w:p>
      <w:pPr>
        <w:pStyle w:val="Heading2"/>
      </w:pPr>
      <w:bookmarkStart w:id="25" w:name="referencias"/>
      <w:r>
        <w:t xml:space="preserve">Referencias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[R23] INCOSE.</w:t>
      </w:r>
      <w:r>
        <w:t xml:space="preserve"> </w:t>
      </w:r>
      <w:r>
        <w:rPr>
          <w:i/>
        </w:rPr>
        <w:t xml:space="preserve">Systems Engineering Handbook</w:t>
      </w:r>
      <w:r>
        <w:t xml:space="preserve">, 5.ª ed., Wiley, 2023 (ISBN 9781119814290). https://www.incose.org/resources-publications/technical-publications/se-handbook</w:t>
      </w:r>
    </w:p>
    <w:p>
      <w:pPr>
        <w:numPr>
          <w:ilvl w:val="0"/>
          <w:numId w:val="1004"/>
        </w:numPr>
        <w:pStyle w:val="Compact"/>
      </w:pPr>
      <w:r>
        <w:t xml:space="preserve">[R24] ISO/IEC/IEEE 15288:2023 —</w:t>
      </w:r>
      <w:r>
        <w:t xml:space="preserve"> </w:t>
      </w:r>
      <w:r>
        <w:rPr>
          <w:i/>
        </w:rPr>
        <w:t xml:space="preserve">Systems and software engineering — System life cycle processes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[R25] ISO/IEC/IEEE 29148:2018 —</w:t>
      </w:r>
      <w:r>
        <w:t xml:space="preserve"> </w:t>
      </w:r>
      <w:r>
        <w:rPr>
          <w:i/>
        </w:rPr>
        <w:t xml:space="preserve">Requirements engineering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[R26] ISO/IEC/IEEE 15289:2019 —</w:t>
      </w:r>
      <w:r>
        <w:t xml:space="preserve"> </w:t>
      </w:r>
      <w:r>
        <w:rPr>
          <w:i/>
        </w:rPr>
        <w:t xml:space="preserve">Content of life-cycle information items (documentation)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[R27] NASA.</w:t>
      </w:r>
      <w:r>
        <w:t xml:space="preserve"> </w:t>
      </w:r>
      <w:r>
        <w:rPr>
          <w:i/>
        </w:rPr>
        <w:t xml:space="preserve">Systems Engineering Handbook</w:t>
      </w:r>
      <w:r>
        <w:t xml:space="preserve"> </w:t>
      </w:r>
      <w:r>
        <w:t xml:space="preserve">(SP-2016-6105 Rev2) — revisiones de diseño PDR/CDR. https://www.nasa.gov/seh/</w:t>
      </w:r>
    </w:p>
    <w:p>
      <w:pPr>
        <w:numPr>
          <w:ilvl w:val="0"/>
          <w:numId w:val="1004"/>
        </w:numPr>
        <w:pStyle w:val="Compact"/>
      </w:pPr>
      <w:r>
        <w:t xml:space="preserve">[R28] White, E.</w:t>
      </w:r>
      <w:r>
        <w:t xml:space="preserve"> </w:t>
      </w:r>
      <w:r>
        <w:rPr>
          <w:i/>
        </w:rPr>
        <w:t xml:space="preserve">Making Embedded Systems: Design Patterns for Great Software</w:t>
      </w:r>
      <w:r>
        <w:t xml:space="preserve">, O’Reilly. https://www.oreilly.com/library/view/making-embedded-systems/9781098151539/</w:t>
      </w:r>
    </w:p>
    <w:p>
      <w:pPr>
        <w:numPr>
          <w:ilvl w:val="0"/>
          <w:numId w:val="1004"/>
        </w:numPr>
        <w:pStyle w:val="Compact"/>
      </w:pPr>
      <w:r>
        <w:t xml:space="preserve">[R29] Clements, P. et al. </w:t>
      </w:r>
      <w:r>
        <w:rPr>
          <w:i/>
        </w:rPr>
        <w:t xml:space="preserve">Documenting Software Architectures: Views and Beyond</w:t>
      </w:r>
      <w:r>
        <w:t xml:space="preserve">, 2.ª ed., Addison-Wesley.</w:t>
      </w:r>
    </w:p>
    <w:p>
      <w:pPr>
        <w:numPr>
          <w:ilvl w:val="0"/>
          <w:numId w:val="1004"/>
        </w:numPr>
        <w:pStyle w:val="Compact"/>
      </w:pPr>
      <w:r>
        <w:t xml:space="preserve">[R30] Starke &amp; Hruschka —</w:t>
      </w:r>
      <w:r>
        <w:t xml:space="preserve"> </w:t>
      </w:r>
      <w:r>
        <w:rPr>
          <w:i/>
        </w:rPr>
        <w:t xml:space="preserve">arc42</w:t>
      </w:r>
      <w:r>
        <w:t xml:space="preserve"> </w:t>
      </w:r>
      <w:r>
        <w:t xml:space="preserve">(https://arc42.org/); Brown, S. —</w:t>
      </w:r>
      <w:r>
        <w:t xml:space="preserve"> </w:t>
      </w:r>
      <w:r>
        <w:rPr>
          <w:i/>
        </w:rPr>
        <w:t xml:space="preserve">C4 model</w:t>
      </w:r>
      <w:r>
        <w:t xml:space="preserve"> </w:t>
      </w:r>
      <w:r>
        <w:t xml:space="preserve">(https://c4model.com/).</w:t>
      </w:r>
    </w:p>
    <w:p>
      <w:pPr>
        <w:numPr>
          <w:ilvl w:val="0"/>
          <w:numId w:val="1004"/>
        </w:numPr>
        <w:pStyle w:val="Compact"/>
      </w:pPr>
      <w:r>
        <w:t xml:space="preserve">[R31] Nygard, M.</w:t>
      </w:r>
      <w:r>
        <w:t xml:space="preserve"> </w:t>
      </w:r>
      <w:r>
        <w:rPr>
          <w:i/>
        </w:rPr>
        <w:t xml:space="preserve">Documenting Architecture Decisions</w:t>
      </w:r>
      <w:r>
        <w:t xml:space="preserve"> </w:t>
      </w:r>
      <w:r>
        <w:t xml:space="preserve">(ADR), 2011. https://www.cognitect.com/blog/2011/11/15/documenting-architecture-decisions</w:t>
      </w:r>
    </w:p>
    <w:p>
      <w:pPr>
        <w:numPr>
          <w:ilvl w:val="0"/>
          <w:numId w:val="1004"/>
        </w:numPr>
        <w:pStyle w:val="Compact"/>
      </w:pPr>
      <w:r>
        <w:t xml:space="preserve">[R32] Bhatti, J. et al. </w:t>
      </w:r>
      <w:r>
        <w:rPr>
          <w:i/>
        </w:rPr>
        <w:t xml:space="preserve">Docs for Developers: An Engineer’s Field Guide to Technical Writing</w:t>
      </w:r>
      <w:r>
        <w:t xml:space="preserve">, Apress. https://docsfordevelopers.com/</w:t>
      </w:r>
    </w:p>
    <w:p>
      <w:pPr>
        <w:numPr>
          <w:ilvl w:val="0"/>
          <w:numId w:val="1004"/>
        </w:numPr>
        <w:pStyle w:val="Compact"/>
      </w:pPr>
      <w:r>
        <w:t xml:space="preserve">[R33] Google.</w:t>
      </w:r>
      <w:r>
        <w:t xml:space="preserve"> </w:t>
      </w:r>
      <w:r>
        <w:rPr>
          <w:i/>
        </w:rPr>
        <w:t xml:space="preserve">Technical Writing courses</w:t>
      </w:r>
      <w:r>
        <w:t xml:space="preserve">. https://developers.google.com/tech-writing</w:t>
      </w:r>
    </w:p>
    <w:p>
      <w:pPr>
        <w:numPr>
          <w:ilvl w:val="0"/>
          <w:numId w:val="1004"/>
        </w:numPr>
        <w:pStyle w:val="Compact"/>
      </w:pPr>
      <w:r>
        <w:t xml:space="preserve">[R34] IEEE 1016 —</w:t>
      </w:r>
      <w:r>
        <w:t xml:space="preserve"> </w:t>
      </w:r>
      <w:r>
        <w:rPr>
          <w:i/>
        </w:rPr>
        <w:t xml:space="preserve">Software Design Descriptions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2026-06-11T23:37:58Z</dcterms:created>
  <dcterms:modified xsi:type="dcterms:W3CDTF">2026-06-11T23:37:58Z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