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d806d75d860ccf995445958190d69a827ee1bf"/>
      <w:r>
        <w:t xml:space="preserve">Análisis de potencia y balance energético</w:t>
      </w:r>
      <w:bookmarkEnd w:id="20"/>
    </w:p>
    <w:p>
      <w:pPr>
        <w:pStyle w:val="Heading3"/>
      </w:pPr>
      <w:bookmarkStart w:id="21" w:name="nodo-edge-ai-v1v2v3-gateway-lorawan"/>
      <w:r>
        <w:t xml:space="preserve">Nodo Edge AI (V1/V2/V3) + Gateway LoRaWAN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Aprobado (v2.0)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Fecha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Responsable</w:t>
            </w:r>
          </w:p>
        </w:tc>
        <w:tc>
          <w:p>
            <w:pPr>
              <w:pStyle w:val="Compact"/>
              <w:jc w:val="left"/>
            </w:pPr>
            <w:r>
              <w:t xml:space="preserve">Área Técnica — DSFFFS / OSINFOR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Relacionado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ADR-001</w:t>
            </w:r>
            <w:r>
              <w:t xml:space="preserve">, «Comparación de versiones de nodo», «Cadencia de captura y política de muestreo», EETT fotovoltaica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Cambios v2.0</w:t>
            </w:r>
          </w:p>
        </w:tc>
        <w:tc>
          <w:p>
            <w:pPr>
              <w:pStyle w:val="Compact"/>
              <w:jc w:val="left"/>
            </w:pPr>
            <w:r>
              <w:t xml:space="preserve">Modelo basado en</w:t>
            </w:r>
            <w:r>
              <w:t xml:space="preserve"> </w:t>
            </w:r>
            <w:r>
              <w:rPr>
                <w:b/>
              </w:rPr>
              <w:t xml:space="preserve">captura por intervalos, solo de día</w:t>
            </w:r>
            <w:r>
              <w:t xml:space="preserve">. Se añaden las 3 versiones de nodo.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bjetivo"/>
      <w:r>
        <w:t xml:space="preserve">1. Objetivo</w:t>
      </w:r>
      <w:bookmarkEnd w:id="22"/>
    </w:p>
    <w:p>
      <w:pPr>
        <w:pStyle w:val="FirstParagraph"/>
      </w:pPr>
      <w:r>
        <w:t xml:space="preserve">Evaluar el consumo de las</w:t>
      </w:r>
      <w:r>
        <w:t xml:space="preserve"> </w:t>
      </w:r>
      <w:r>
        <w:rPr>
          <w:b/>
        </w:rPr>
        <w:t xml:space="preserve">tres versiones de nodo</w:t>
      </w:r>
      <w:r>
        <w:t xml:space="preserve"> </w:t>
      </w:r>
      <w:r>
        <w:t xml:space="preserve">y del</w:t>
      </w:r>
      <w:r>
        <w:t xml:space="preserve"> </w:t>
      </w:r>
      <w:r>
        <w:rPr>
          <w:b/>
        </w:rPr>
        <w:t xml:space="preserve">gateway</w:t>
      </w:r>
      <w:r>
        <w:t xml:space="preserve"> </w:t>
      </w:r>
      <w:r>
        <w:t xml:space="preserve">bajo captura por</w:t>
      </w:r>
      <w:r>
        <w:t xml:space="preserve"> </w:t>
      </w:r>
      <w:r>
        <w:t xml:space="preserve">intervalos diurna, para dimensionar el sistema fotovoltaico.</w:t>
      </w:r>
    </w:p>
    <w:p>
      <w:pPr>
        <w:pStyle w:val="Heading2"/>
      </w:pPr>
      <w:bookmarkStart w:id="23" w:name="supuestos"/>
      <w:r>
        <w:t xml:space="preserve">2. Supuestos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HSP (sol pico)</w:t>
            </w:r>
          </w:p>
        </w:tc>
        <w:tc>
          <w:p>
            <w:pPr>
              <w:pStyle w:val="Compact"/>
              <w:jc w:val="left"/>
            </w:pPr>
            <w:r>
              <w:t xml:space="preserve">3,5 h/día</w:t>
            </w:r>
          </w:p>
        </w:tc>
        <w:tc>
          <w:p>
            <w:pPr>
              <w:pStyle w:val="Compact"/>
              <w:jc w:val="left"/>
            </w:pPr>
            <w:r>
              <w:t xml:space="preserve">Loreto, conservador (nubosidad/lluvia)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Pérdidas globales</w:t>
            </w:r>
          </w:p>
        </w:tc>
        <w:tc>
          <w:p>
            <w:pPr>
              <w:pStyle w:val="Compact"/>
              <w:jc w:val="left"/>
            </w:pPr>
            <w:r>
              <w:t xml:space="preserve">30 % (×0,70)</w:t>
            </w:r>
          </w:p>
        </w:tc>
        <w:tc>
          <w:p>
            <w:pPr>
              <w:pStyle w:val="Compact"/>
              <w:jc w:val="left"/>
            </w:pPr>
            <w:r>
              <w:t xml:space="preserve">MPPT, temp, suciedad, cableado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DoD</w:t>
            </w:r>
          </w:p>
        </w:tc>
        <w:tc>
          <w:p>
            <w:pPr>
              <w:pStyle w:val="Compact"/>
              <w:jc w:val="left"/>
            </w:pPr>
            <w:r>
              <w:t xml:space="preserve">80 %</w:t>
            </w:r>
          </w:p>
        </w:tc>
        <w:tc>
          <w:p>
            <w:pPr>
              <w:pStyle w:val="Compact"/>
              <w:jc w:val="left"/>
            </w:pPr>
            <w:r>
              <w:t xml:space="preserve">LiFePO4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η conversión</w:t>
            </w:r>
          </w:p>
        </w:tc>
        <w:tc>
          <w:p>
            <w:pPr>
              <w:pStyle w:val="Compact"/>
              <w:jc w:val="left"/>
            </w:pPr>
            <w:r>
              <w:t xml:space="preserve">85 %</w:t>
            </w:r>
          </w:p>
        </w:tc>
        <w:tc>
          <w:p>
            <w:pPr>
              <w:pStyle w:val="Compact"/>
              <w:jc w:val="left"/>
            </w:pPr>
            <w:r>
              <w:t xml:space="preserve">DC-DC y conductores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p>
            <w:pPr>
              <w:pStyle w:val="Compact"/>
              <w:jc w:val="left"/>
            </w:pPr>
            <w:r>
              <w:t xml:space="preserve">12,8 V</w:t>
            </w:r>
          </w:p>
        </w:tc>
        <w:tc>
          <w:p>
            <w:pPr>
              <w:pStyle w:val="Compact"/>
              <w:jc w:val="left"/>
            </w:pPr>
            <w:r>
              <w:t xml:space="preserve">LiFePO4 4S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Autonomía</w:t>
            </w:r>
          </w:p>
        </w:tc>
        <w:tc>
          <w:p>
            <w:pPr>
              <w:pStyle w:val="Compact"/>
              <w:jc w:val="left"/>
            </w:pPr>
            <w:r>
              <w:t xml:space="preserve">2,5 días</w:t>
            </w:r>
          </w:p>
        </w:tc>
        <w:tc>
          <w:p>
            <w:pPr>
              <w:pStyle w:val="Compact"/>
              <w:jc w:val="left"/>
            </w:pPr>
            <w:r>
              <w:t xml:space="preserve">Sin radiación útil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Ventana diurna</w:t>
            </w:r>
          </w:p>
        </w:tc>
        <w:tc>
          <w:p>
            <w:pPr>
              <w:pStyle w:val="Compact"/>
              <w:jc w:val="left"/>
            </w:pPr>
            <w:r>
              <w:t xml:space="preserve">12 h (~06:00–18:00)</w:t>
            </w:r>
          </w:p>
        </w:tc>
        <w:tc>
          <w:p>
            <w:pPr>
              <w:pStyle w:val="Compact"/>
              <w:jc w:val="left"/>
            </w:pPr>
            <w:r>
              <w:t xml:space="preserve">Humo visible solo de día [R02][R04]</w:t>
            </w:r>
          </w:p>
        </w:tc>
      </w:tr>
    </w:tbl>
    <w:p>
      <w:pPr>
        <w:pStyle w:val="BlockText"/>
      </w:pPr>
      <w:r>
        <w:t xml:space="preserve">Las cifras de consumo son</w:t>
      </w:r>
      <w:r>
        <w:t xml:space="preserve"> </w:t>
      </w:r>
      <w:r>
        <w:rPr>
          <w:b/>
        </w:rPr>
        <w:t xml:space="preserve">estimaciones de diseño</w:t>
      </w:r>
      <w:r>
        <w:t xml:space="preserve"> </w:t>
      </w:r>
      <w:r>
        <w:t xml:space="preserve">(datasheet + ciclo de trabajo de la</w:t>
      </w:r>
      <w:r>
        <w:t xml:space="preserve"> </w:t>
      </w:r>
      <w:r>
        <w:t xml:space="preserve">literatura). Se validan por medición en EVT («Protocolo de pruebas de energía»).</w:t>
      </w:r>
    </w:p>
    <w:p>
      <w:pPr>
        <w:pStyle w:val="Heading2"/>
      </w:pPr>
      <w:bookmarkStart w:id="24" w:name="consumo-por-componente-datasheet"/>
      <w:r>
        <w:t xml:space="preserve">3. Consumo por componente (datasheet)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Milesight</w:t>
            </w:r>
            <w:r>
              <w:t xml:space="preserve"> </w:t>
            </w:r>
            <w:r>
              <w:rPr>
                <w:b/>
              </w:rPr>
              <w:t xml:space="preserve">UG67</w:t>
            </w:r>
          </w:p>
        </w:tc>
        <w:tc>
          <w:p>
            <w:pPr>
              <w:pStyle w:val="Compact"/>
              <w:jc w:val="left"/>
            </w:pPr>
            <w:r>
              <w:t xml:space="preserve">Gateway LoRaWAN (4G/WiFi/Eth integrados)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Típ. 3,6 W · Máx 4,8 W</w:t>
            </w:r>
          </w:p>
        </w:tc>
        <w:tc>
          <w:p>
            <w:pPr>
              <w:pStyle w:val="Compact"/>
              <w:jc w:val="left"/>
            </w:pPr>
            <w:r>
              <w:t xml:space="preserve">Datasheet UG67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RPi 5 + AI HAT+ (Hailo-8)</w:t>
            </w:r>
          </w:p>
        </w:tc>
        <w:tc>
          <w:p>
            <w:pPr>
              <w:pStyle w:val="Compact"/>
              <w:jc w:val="left"/>
            </w:pPr>
            <w:r>
              <w:t xml:space="preserve">Cómputo NPU 13 TOPS (V3)</w:t>
            </w:r>
          </w:p>
        </w:tc>
        <w:tc>
          <w:p>
            <w:pPr>
              <w:pStyle w:val="Compact"/>
              <w:jc w:val="left"/>
            </w:pPr>
            <w:r>
              <w:t xml:space="preserve">~8–10 W activo</w:t>
            </w:r>
          </w:p>
        </w:tc>
        <w:tc>
          <w:p>
            <w:pPr>
              <w:pStyle w:val="Compact"/>
              <w:jc w:val="left"/>
            </w:pPr>
            <w:r>
              <w:t xml:space="preserve">RPi5 + Hailo-8 (est.)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ESP32-S3</w:t>
            </w:r>
            <w:r>
              <w:t xml:space="preserve"> </w:t>
            </w:r>
            <w:r>
              <w:t xml:space="preserve">(XIAO/NE101/NEO101)</w:t>
            </w:r>
          </w:p>
        </w:tc>
        <w:tc>
          <w:p>
            <w:pPr>
              <w:pStyle w:val="Compact"/>
              <w:jc w:val="left"/>
            </w:pPr>
            <w:r>
              <w:t xml:space="preserve">MCU + TinyML (V1/V2)</w:t>
            </w:r>
          </w:p>
        </w:tc>
        <w:tc>
          <w:p>
            <w:pPr>
              <w:pStyle w:val="Compact"/>
              <w:jc w:val="left"/>
            </w:pPr>
            <w:r>
              <w:t xml:space="preserve">~0,5 W activo; µW sleep</w:t>
            </w:r>
          </w:p>
        </w:tc>
        <w:tc>
          <w:p>
            <w:pPr>
              <w:pStyle w:val="Compact"/>
              <w:jc w:val="left"/>
            </w:pPr>
            <w:r>
              <w:t xml:space="preserve">Plataforma ultrabajo consumo (est.)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Grove/XIAO Vision AI</w:t>
            </w:r>
            <w:r>
              <w:t xml:space="preserve"> </w:t>
            </w:r>
            <w:r>
              <w:t xml:space="preserve">(Himax) /</w:t>
            </w:r>
            <w:r>
              <w:t xml:space="preserve"> </w:t>
            </w:r>
            <w:r>
              <w:rPr>
                <w:b/>
              </w:rPr>
              <w:t xml:space="preserve">RPi AI Cam</w:t>
            </w:r>
            <w:r>
              <w:t xml:space="preserve"> </w:t>
            </w:r>
            <w:r>
              <w:t xml:space="preserve">(IMX500)</w:t>
            </w:r>
          </w:p>
        </w:tc>
        <w:tc>
          <w:p>
            <w:pPr>
              <w:pStyle w:val="Compact"/>
              <w:jc w:val="left"/>
            </w:pPr>
            <w:r>
              <w:t xml:space="preserve">IA on-sensor (V2)</w:t>
            </w:r>
          </w:p>
        </w:tc>
        <w:tc>
          <w:p>
            <w:pPr>
              <w:pStyle w:val="Compact"/>
              <w:jc w:val="left"/>
            </w:pPr>
            <w:r>
              <w:t xml:space="preserve">~0,05–0,15 W inferencia</w:t>
            </w:r>
          </w:p>
        </w:tc>
        <w:tc>
          <w:p>
            <w:pPr>
              <w:pStyle w:val="Compact"/>
              <w:jc w:val="left"/>
            </w:pPr>
            <w:r>
              <w:t xml:space="preserve">Sensores IA bajo consumo (est.)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Radio</w:t>
            </w:r>
            <w:r>
              <w:t xml:space="preserve"> </w:t>
            </w:r>
            <w:r>
              <w:rPr>
                <w:b/>
              </w:rPr>
              <w:t xml:space="preserve">LoRa nodo</w:t>
            </w:r>
            <w:r>
              <w:t xml:space="preserve"> </w:t>
            </w:r>
            <w:r>
              <w:t xml:space="preserve">(SX126x, integrada)</w:t>
            </w:r>
          </w:p>
        </w:tc>
        <w:tc>
          <w:p>
            <w:pPr>
              <w:pStyle w:val="Compact"/>
              <w:jc w:val="left"/>
            </w:pPr>
            <w:r>
              <w:t xml:space="preserve">Transmisión por evento</w:t>
            </w:r>
          </w:p>
        </w:tc>
        <w:tc>
          <w:p>
            <w:pPr>
              <w:pStyle w:val="Compact"/>
              <w:jc w:val="left"/>
            </w:pPr>
            <w:r>
              <w:t xml:space="preserve">TX ~0,4 W ráfaga</w:t>
            </w:r>
          </w:p>
        </w:tc>
        <w:tc>
          <w:p>
            <w:pPr>
              <w:pStyle w:val="Compact"/>
              <w:jc w:val="left"/>
            </w:pPr>
            <w:r>
              <w:t xml:space="preserve">Familia SX126x (est.)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Cámara OV5640/OV2640</w:t>
            </w:r>
          </w:p>
        </w:tc>
        <w:tc>
          <w:p>
            <w:pPr>
              <w:pStyle w:val="Compact"/>
              <w:jc w:val="left"/>
            </w:pPr>
            <w:r>
              <w:t xml:space="preserve">Sensor imagen</w:t>
            </w:r>
          </w:p>
        </w:tc>
        <w:tc>
          <w:p>
            <w:pPr>
              <w:pStyle w:val="Compact"/>
              <w:jc w:val="left"/>
            </w:pPr>
            <w:r>
              <w:t xml:space="preserve">~0,3–0,4 W activo</w:t>
            </w:r>
          </w:p>
        </w:tc>
        <w:tc>
          <w:p>
            <w:pPr>
              <w:pStyle w:val="Compact"/>
              <w:jc w:val="left"/>
            </w:pPr>
            <w:r>
              <w:t xml:space="preserve">Datasheet OV5640 (est.)</w:t>
            </w:r>
          </w:p>
        </w:tc>
      </w:tr>
    </w:tbl>
    <w:p>
      <w:pPr>
        <w:pStyle w:val="Heading2"/>
      </w:pPr>
      <w:bookmarkStart w:id="25" w:name="X75f806693c64e758f4967271ca6369d4292635c"/>
      <w:r>
        <w:t xml:space="preserve">4. Modelo de energía (captura por intervalos, diurno)</w:t>
      </w:r>
      <w:bookmarkEnd w:id="25"/>
    </w:p>
    <w:p>
      <w:pPr>
        <w:pStyle w:val="FirstParagraph"/>
      </w:pPr>
      <w:r>
        <w:t xml:space="preserve">El balance se obtuvo mediante un modelo de energía paramétrico y reproducible.</w:t>
      </w:r>
      <w:r>
        <w:t xml:space="preserve"> </w:t>
      </w:r>
      <w:r>
        <w:rPr>
          <w:rStyle w:val="VerbatimChar"/>
        </w:rPr>
        <w:t xml:space="preserve">Wh/día = P_standby×24 + n_capturas×E_captura + n_tx×E_tx</w:t>
      </w:r>
      <w:r>
        <w:t xml:space="preserve"> </w:t>
      </w:r>
      <w:r>
        <w:t xml:space="preserve">(modo always-on: idle×horas).</w:t>
      </w:r>
    </w:p>
    <w:p>
      <w:pPr>
        <w:pStyle w:val="Heading3"/>
      </w:pPr>
      <w:bookmarkStart w:id="26" w:name="X30708bd735bbcdd7e15e35741312f742a547b5e"/>
      <w:r>
        <w:t xml:space="preserve">4.1 Resultados por versión y esquema de captura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Fijo 1 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Fijo 3 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Adaptativo (~30/día)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V1 · MCU TinyML</w:t>
            </w:r>
          </w:p>
        </w:tc>
        <w:tc>
          <w:p>
            <w:pPr>
              <w:pStyle w:val="Compact"/>
              <w:jc w:val="left"/>
            </w:pPr>
            <w:r>
              <w:t xml:space="preserve">0,203 Wh/día</w:t>
            </w:r>
          </w:p>
        </w:tc>
        <w:tc>
          <w:p>
            <w:pPr>
              <w:pStyle w:val="Compact"/>
              <w:jc w:val="left"/>
            </w:pPr>
            <w:r>
              <w:t xml:space="preserve">0,197 Wh/día</w:t>
            </w:r>
          </w:p>
        </w:tc>
        <w:tc>
          <w:p>
            <w:pPr>
              <w:pStyle w:val="Compact"/>
              <w:jc w:val="left"/>
            </w:pPr>
            <w:r>
              <w:t xml:space="preserve">0,218 Wh/día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V2 · IA on-sensor</w:t>
            </w:r>
          </w:p>
        </w:tc>
        <w:tc>
          <w:p>
            <w:pPr>
              <w:pStyle w:val="Compact"/>
              <w:jc w:val="left"/>
            </w:pPr>
            <w:r>
              <w:t xml:space="preserve">0,304 Wh/día</w:t>
            </w:r>
          </w:p>
        </w:tc>
        <w:tc>
          <w:p>
            <w:pPr>
              <w:pStyle w:val="Compact"/>
              <w:jc w:val="left"/>
            </w:pPr>
            <w:r>
              <w:t xml:space="preserve">0,295 Wh/día</w:t>
            </w:r>
          </w:p>
        </w:tc>
        <w:tc>
          <w:p>
            <w:pPr>
              <w:pStyle w:val="Compact"/>
              <w:jc w:val="left"/>
            </w:pPr>
            <w:r>
              <w:t xml:space="preserve">0,326 Wh/día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V3a · NPU (gated)</w:t>
            </w:r>
          </w:p>
        </w:tc>
        <w:tc>
          <w:p>
            <w:pPr>
              <w:pStyle w:val="Compact"/>
              <w:jc w:val="left"/>
            </w:pPr>
            <w:r>
              <w:t xml:space="preserve">1,322 Wh/día</w:t>
            </w:r>
          </w:p>
        </w:tc>
        <w:tc>
          <w:p>
            <w:pPr>
              <w:pStyle w:val="Compact"/>
              <w:jc w:val="left"/>
            </w:pPr>
            <w:r>
              <w:t xml:space="preserve">0,762 Wh/día</w:t>
            </w:r>
          </w:p>
        </w:tc>
        <w:tc>
          <w:p>
            <w:pPr>
              <w:pStyle w:val="Compact"/>
              <w:jc w:val="left"/>
            </w:pPr>
            <w:r>
              <w:t xml:space="preserve">2,582 Wh/día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V3b · NPU (always-on)</w:t>
            </w:r>
          </w:p>
        </w:tc>
        <w:tc>
          <w:p>
            <w:pPr>
              <w:pStyle w:val="Compact"/>
              <w:jc w:val="left"/>
            </w:pPr>
            <w:r>
              <w:t xml:space="preserve">40,8 Wh/día</w:t>
            </w:r>
          </w:p>
        </w:tc>
        <w:tc>
          <w:p>
            <w:pPr>
              <w:pStyle w:val="Compact"/>
              <w:jc w:val="left"/>
            </w:pPr>
            <w:r>
              <w:t xml:space="preserve">40,8 Wh/día</w:t>
            </w:r>
          </w:p>
        </w:tc>
        <w:tc>
          <w:p>
            <w:pPr>
              <w:pStyle w:val="Compact"/>
              <w:jc w:val="left"/>
            </w:pPr>
            <w:r>
              <w:t xml:space="preserve">40,8 Wh/día</w:t>
            </w:r>
          </w:p>
        </w:tc>
      </w:tr>
    </w:tbl>
    <w:p>
      <w:pPr>
        <w:pStyle w:val="Heading3"/>
      </w:pPr>
      <w:bookmarkStart w:id="27" w:name="dimensionamiento-mínimo-resultante"/>
      <w:r>
        <w:t xml:space="preserve">4.2 Dimensionamiento mínimo resultante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Batería mín.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mín.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Nodo V1 / V2</w:t>
            </w:r>
          </w:p>
        </w:tc>
        <w:tc>
          <w:p>
            <w:pPr>
              <w:pStyle w:val="Compact"/>
              <w:jc w:val="left"/>
            </w:pPr>
            <w:r>
              <w:t xml:space="preserve">0,2–0,3 Wh/día</w:t>
            </w:r>
          </w:p>
        </w:tc>
        <w:tc>
          <w:p>
            <w:pPr>
              <w:pStyle w:val="Compact"/>
              <w:jc w:val="left"/>
            </w:pPr>
            <w:r>
              <w:t xml:space="preserve">&lt; 0,1 Ah</w:t>
            </w:r>
          </w:p>
        </w:tc>
        <w:tc>
          <w:p>
            <w:pPr>
              <w:pStyle w:val="Compact"/>
              <w:jc w:val="left"/>
            </w:pPr>
            <w:r>
              <w:t xml:space="preserve">&lt; 1 Wp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Nodo V3 (gated)</w:t>
            </w:r>
          </w:p>
        </w:tc>
        <w:tc>
          <w:p>
            <w:pPr>
              <w:pStyle w:val="Compact"/>
              <w:jc w:val="left"/>
            </w:pPr>
            <w:r>
              <w:t xml:space="preserve">0,8–2,6 Wh/día</w:t>
            </w:r>
          </w:p>
        </w:tc>
        <w:tc>
          <w:p>
            <w:pPr>
              <w:pStyle w:val="Compact"/>
              <w:jc w:val="left"/>
            </w:pPr>
            <w:r>
              <w:t xml:space="preserve">~0,2–0,7 Ah</w:t>
            </w:r>
          </w:p>
        </w:tc>
        <w:tc>
          <w:p>
            <w:pPr>
              <w:pStyle w:val="Compact"/>
              <w:jc w:val="left"/>
            </w:pPr>
            <w:r>
              <w:t xml:space="preserve">~1–2 Wp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Nodo V3 (always-on)</w:t>
            </w:r>
          </w:p>
        </w:tc>
        <w:tc>
          <w:p>
            <w:pPr>
              <w:pStyle w:val="Compact"/>
              <w:jc w:val="left"/>
            </w:pPr>
            <w:r>
              <w:t xml:space="preserve">40,8 Wh/día</w:t>
            </w:r>
          </w:p>
        </w:tc>
        <w:tc>
          <w:p>
            <w:pPr>
              <w:pStyle w:val="Compact"/>
              <w:jc w:val="left"/>
            </w:pPr>
            <w:r>
              <w:t xml:space="preserve">~12 Ah</w:t>
            </w:r>
          </w:p>
        </w:tc>
        <w:tc>
          <w:p>
            <w:pPr>
              <w:pStyle w:val="Compact"/>
              <w:jc w:val="left"/>
            </w:pPr>
            <w:r>
              <w:t xml:space="preserve">~33 Wp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Gateway UG67 (típ.)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 Wh/día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~25 Ah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~71 Wp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 UG67 (máx.)</w:t>
            </w:r>
          </w:p>
        </w:tc>
        <w:tc>
          <w:p>
            <w:pPr>
              <w:pStyle w:val="Compact"/>
              <w:jc w:val="left"/>
            </w:pPr>
            <w:r>
              <w:t xml:space="preserve">115 Wh/día</w:t>
            </w:r>
          </w:p>
        </w:tc>
        <w:tc>
          <w:p>
            <w:pPr>
              <w:pStyle w:val="Compact"/>
              <w:jc w:val="left"/>
            </w:pPr>
            <w:r>
              <w:t xml:space="preserve">~33 Ah</w:t>
            </w:r>
          </w:p>
        </w:tc>
        <w:tc>
          <w:p>
            <w:pPr>
              <w:pStyle w:val="Compact"/>
              <w:jc w:val="left"/>
            </w:pPr>
            <w:r>
              <w:t xml:space="preserve">~94 Wp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Energía por versión" title="" id="1" name="Picture"/>
            <a:graphic>
              <a:graphicData uri="http://schemas.openxmlformats.org/drawingml/2006/picture">
                <pic:pic>
                  <pic:nvPicPr>
                    <pic:cNvPr descr="../_recursos/energia-por-ver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Energía por versión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Energía del sistema según nº de nodos" title="" id="1" name="Picture"/>
            <a:graphic>
              <a:graphicData uri="http://schemas.openxmlformats.org/drawingml/2006/picture">
                <pic:pic>
                  <pic:nvPicPr>
                    <pic:cNvPr descr="../_recursos/energia-sistema-vs-nod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Energía del sistema según nº de nodos</w:t>
      </w:r>
    </w:p>
    <w:p>
      <w:pPr>
        <w:pStyle w:val="Heading2"/>
      </w:pPr>
      <w:bookmarkStart w:id="30" w:name="hallazgos"/>
      <w:r>
        <w:t xml:space="preserve">5. Hallazgos</w:t>
      </w:r>
      <w:bookmarkEnd w:id="3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V1 y V2 consumen ~0,2–0,3 Wh/día y están dominados por el standby</w:t>
      </w:r>
      <w:r>
        <w:t xml:space="preserve">: el intervalo de</w:t>
      </w:r>
      <w:r>
        <w:t xml:space="preserve"> </w:t>
      </w:r>
      <w:r>
        <w:t xml:space="preserve">captura tiene un efecto energético no significativo. → La cadencia se elige por</w:t>
      </w:r>
      <w:r>
        <w:t xml:space="preserve"> </w:t>
      </w:r>
      <w:r>
        <w:rPr>
          <w:b/>
        </w:rPr>
        <w:t xml:space="preserve">latencia</w:t>
      </w:r>
      <w:r>
        <w:t xml:space="preserve">, no por</w:t>
      </w:r>
      <w:r>
        <w:t xml:space="preserve"> </w:t>
      </w:r>
      <w:r>
        <w:t xml:space="preserve">energía (véase «Cadencia de captura y política de muestreo»).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V3 solo es viable con disparo por evento / arranque controlado</w:t>
      </w:r>
      <w:r>
        <w:t xml:space="preserve"> </w:t>
      </w:r>
      <w:r>
        <w:t xml:space="preserve">(~1–2 Wh/día). En</w:t>
      </w:r>
      <w:r>
        <w:t xml:space="preserve"> </w:t>
      </w:r>
      <w:r>
        <w:rPr>
          <w:i/>
        </w:rPr>
        <w:t xml:space="preserve">always-on</w:t>
      </w:r>
      <w:r>
        <w:t xml:space="preserve"> </w:t>
      </w:r>
      <w:r>
        <w:t xml:space="preserve">consume ~41 Wh/día (≈100× V1) y obliga a un sistema solar grande.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 gateway UG67 es el principal consumidor del sistema.</w:t>
      </w:r>
      <w:r>
        <w:t xml:space="preserve"> </w:t>
      </w:r>
      <w:r>
        <w:t xml:space="preserve">Con operación 24/7 son ~86 Wh/día;</w:t>
      </w:r>
      <w:r>
        <w:t xml:space="preserve"> </w:t>
      </w:r>
      <w:r>
        <w:t xml:space="preserve">con</w:t>
      </w:r>
      <w:r>
        <w:t xml:space="preserve"> </w:t>
      </w:r>
      <w:r>
        <w:rPr>
          <w:b/>
        </w:rPr>
        <w:t xml:space="preserve">apagado nocturno programado y 4G por demanda</w:t>
      </w:r>
      <w:r>
        <w:t xml:space="preserve"> </w:t>
      </w:r>
      <w:r>
        <w:t xml:space="preserve">baja a ~50 Wh/día (panel 50 W, batería 20 Ah).</w:t>
      </w:r>
      <w:r>
        <w:t xml:space="preserve"> </w:t>
      </w:r>
      <w:r>
        <w:t xml:space="preserve">El consumo de los nodos de bajo consumo es marginal en comparación.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 dimensionamiento de la EETT vigente (gateway 300 Wp/120 Ah) está sobredimensionado</w:t>
      </w:r>
      <w:r>
        <w:t xml:space="preserve"> </w:t>
      </w:r>
      <w:r>
        <w:t xml:space="preserve">para la carga real del UG67: bastan</w:t>
      </w:r>
      <w:r>
        <w:t xml:space="preserve"> </w:t>
      </w:r>
      <w:r>
        <w:rPr>
          <w:b/>
        </w:rPr>
        <w:t xml:space="preserve">~95 Wp / ~35 Ah</w:t>
      </w:r>
      <w:r>
        <w:t xml:space="preserve"> </w:t>
      </w:r>
      <w:r>
        <w:t xml:space="preserve">(2,5 días) e incluso con</w:t>
      </w:r>
      <w:r>
        <w:t xml:space="preserve"> </w:t>
      </w:r>
      <w:r>
        <w:t xml:space="preserve">margen 2× →</w:t>
      </w:r>
      <w:r>
        <w:t xml:space="preserve"> </w:t>
      </w:r>
      <w:r>
        <w:rPr>
          <w:b/>
        </w:rPr>
        <w:t xml:space="preserve">~150 Wp / ~60 Ah</w:t>
      </w:r>
      <w:r>
        <w:t xml:space="preserve">. El nodo necesita un panel/batería mínimos.</w:t>
      </w:r>
    </w:p>
    <w:p>
      <w:pPr>
        <w:pStyle w:val="Heading2"/>
      </w:pPr>
      <w:bookmarkStart w:id="31" w:name="X0015162bc293bf3e2be9c747e064f4b6d46396d"/>
      <w:r>
        <w:t xml:space="preserve">6. Recomendación de actualización de la EETT fotovoltaica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Subsistema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EETT vigente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 — panel</w:t>
            </w:r>
          </w:p>
        </w:tc>
        <w:tc>
          <w:p>
            <w:pPr>
              <w:pStyle w:val="Compact"/>
              <w:jc w:val="left"/>
            </w:pPr>
            <w:r>
              <w:t xml:space="preserve">300 Wp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 W</w:t>
            </w:r>
            <w:r>
              <w:t xml:space="preserve"> </w:t>
            </w:r>
            <w:r>
              <w:t xml:space="preserve">(operación diurna; apagado nocturno)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 — batería</w:t>
            </w:r>
          </w:p>
        </w:tc>
        <w:tc>
          <w:p>
            <w:pPr>
              <w:pStyle w:val="Compact"/>
              <w:jc w:val="left"/>
            </w:pPr>
            <w:r>
              <w:t xml:space="preserve">120 Ah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 Ah</w:t>
            </w:r>
            <w:r>
              <w:t xml:space="preserve"> </w:t>
            </w:r>
            <w:r>
              <w:t xml:space="preserve">(≈3 días, diurno)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 — MPPT</w:t>
            </w:r>
          </w:p>
        </w:tc>
        <w:tc>
          <w:p>
            <w:pPr>
              <w:pStyle w:val="Compact"/>
              <w:jc w:val="left"/>
            </w:pPr>
            <w:r>
              <w:t xml:space="preserve">30 A</w:t>
            </w:r>
          </w:p>
        </w:tc>
        <w:tc>
          <w:p>
            <w:pPr>
              <w:pStyle w:val="Compact"/>
              <w:jc w:val="left"/>
            </w:pPr>
            <w:r>
              <w:t xml:space="preserve">10–20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Nodo — panel</w:t>
            </w:r>
          </w:p>
        </w:tc>
        <w:tc>
          <w:p>
            <w:pPr>
              <w:pStyle w:val="Compact"/>
              <w:jc w:val="left"/>
            </w:pPr>
            <w:r>
              <w:t xml:space="preserve">20 Wp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W · 6 V</w:t>
            </w:r>
            <w:r>
              <w:t xml:space="preserve"> </w:t>
            </w:r>
            <w:r>
              <w:t xml:space="preserve">(compacto, montaje en árbol)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Nodo — batería</w:t>
            </w:r>
          </w:p>
        </w:tc>
        <w:tc>
          <w:p>
            <w:pPr>
              <w:pStyle w:val="Compact"/>
              <w:jc w:val="left"/>
            </w:pPr>
            <w:r>
              <w:t xml:space="preserve">15 Ah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celda 1S: LiFePO4 32700 6 Ah o Li-ion 18650 ≥ 2,5 Ah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Nodo — MPPT</w:t>
            </w:r>
          </w:p>
        </w:tc>
        <w:tc>
          <w:p>
            <w:pPr>
              <w:pStyle w:val="Compact"/>
              <w:jc w:val="left"/>
            </w:pPr>
            <w:r>
              <w:t xml:space="preserve">10 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cargador solar MPPT 1S ≤ 2 A</w:t>
            </w:r>
          </w:p>
        </w:tc>
      </w:tr>
    </w:tbl>
    <w:p>
      <w:pPr>
        <w:pStyle w:val="BlockText"/>
      </w:pPr>
      <w:r>
        <w:t xml:space="preserve">Un margen mayor incrementa la fiabilidad; no obstante, existe un margen de reducción de</w:t>
      </w:r>
      <w:r>
        <w:t xml:space="preserve"> </w:t>
      </w:r>
      <w:r>
        <w:t xml:space="preserve">costo cuantificable. La cifra final depende de</w:t>
      </w:r>
      <w:r>
        <w:t xml:space="preserve"> </w:t>
      </w:r>
      <w:r>
        <w:rPr>
          <w:rStyle w:val="VerbatimChar"/>
        </w:rPr>
        <w:t xml:space="preserve">ADR-001</w:t>
      </w:r>
      <w:r>
        <w:t xml:space="preserve"> </w:t>
      </w:r>
      <w:r>
        <w:t xml:space="preserve">(versión de nodo) y de la medición EVT.</w:t>
      </w:r>
    </w:p>
    <w:p>
      <w:pPr>
        <w:pStyle w:val="Heading2"/>
      </w:pPr>
      <w:bookmarkStart w:id="32" w:name="verificación"/>
      <w:r>
        <w:t xml:space="preserve">7. Verificación</w:t>
      </w:r>
      <w:bookmarkEnd w:id="32"/>
    </w:p>
    <w:p>
      <w:pPr>
        <w:pStyle w:val="FirstParagraph"/>
      </w:pPr>
      <w:r>
        <w:t xml:space="preserve">Validar con medición de consumo de 24 h por subsistema y modo, en banco y en campo</w:t>
      </w:r>
      <w:r>
        <w:t xml:space="preserve"> </w:t>
      </w:r>
      <w:r>
        <w:t xml:space="preserve">(«Protocolo de pruebas de energía»). Referencias: [R06][R08][R11][R12].</w:t>
      </w:r>
    </w:p>
    <w:p>
      <w:pPr>
        <w:pStyle w:val="Heading2"/>
      </w:pPr>
      <w:bookmarkStart w:id="33" w:name="referencias"/>
      <w:r>
        <w:t xml:space="preserve">Referencias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[R02] Fernandes, Utkin, Chaves (2023). Automatic early detection of wildfire smoke with visible-light cameras and EfficientDet. https://journals.sagepub.com/doi/10.1177/07349041231163451</w:t>
      </w:r>
    </w:p>
    <w:p>
      <w:pPr>
        <w:numPr>
          <w:ilvl w:val="0"/>
          <w:numId w:val="1002"/>
        </w:numPr>
        <w:pStyle w:val="Compact"/>
      </w:pPr>
      <w:r>
        <w:t xml:space="preserve">[R04] Spatio-Temporal Data Model for Early Wildfire Detection, Fire 9(4):175. https://doi.org/10.3390/fire9040175</w:t>
      </w:r>
    </w:p>
    <w:p>
      <w:pPr>
        <w:numPr>
          <w:ilvl w:val="0"/>
          <w:numId w:val="1002"/>
        </w:numPr>
        <w:pStyle w:val="Compact"/>
      </w:pPr>
      <w:r>
        <w:t xml:space="preserve">[R06] EcoWild: Reinforcement Learning for Energy-Aware Wildfire Detection in Remote Environments, Sensors 25(19):6011. https://doi.org/10.3390/s25196011</w:t>
      </w:r>
    </w:p>
    <w:p>
      <w:pPr>
        <w:numPr>
          <w:ilvl w:val="0"/>
          <w:numId w:val="1002"/>
        </w:numPr>
        <w:pStyle w:val="Compact"/>
      </w:pPr>
      <w:r>
        <w:t xml:space="preserve">[R08] LoRaWAN Network for Fire Monitoring in Rural Environments, Electronics 9(3):531. https://www.mdpi.com/2079-9292/9/3/531</w:t>
      </w:r>
    </w:p>
    <w:p>
      <w:pPr>
        <w:numPr>
          <w:ilvl w:val="0"/>
          <w:numId w:val="1002"/>
        </w:numPr>
        <w:pStyle w:val="Compact"/>
      </w:pPr>
      <w:r>
        <w:t xml:space="preserve">[R11] Hsu et al. Adaptive Duty Cycling for Energy Harvesting Systems, ISLPED 2006. https://www.microsoft.com/en-us/research/wp-content/uploads/2006/01/hsuISLPED06.pdf</w:t>
      </w:r>
    </w:p>
    <w:p>
      <w:pPr>
        <w:numPr>
          <w:ilvl w:val="0"/>
          <w:numId w:val="1002"/>
        </w:numPr>
        <w:pStyle w:val="Compact"/>
      </w:pPr>
      <w:r>
        <w:t xml:space="preserve">[R12] An Ultra-low Power TinyML System for Real-time Visual Processing at Edge (arXiv:2207.04663). https://arxiv.org/pdf/2207.04663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9" Target="media/rId2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2026-06-12T05:20:36Z</dcterms:created>
  <dcterms:modified xsi:type="dcterms:W3CDTF">2026-06-12T05:20:36Z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