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7.png" ContentType="image/png"/>
  <Override PartName="/word/media/rId28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comparación-de-las-3-versiones-de-nodo"/>
      <w:r>
        <w:t xml:space="preserve">Comparación de las 3 versiones de nodo</w:t>
      </w:r>
      <w:bookmarkEnd w:id="20"/>
    </w:p>
    <w:p>
      <w:pPr>
        <w:pStyle w:val="Heading3"/>
      </w:pPr>
      <w:bookmarkStart w:id="21" w:name="hardware-firmware-modelo-tinyml"/>
      <w:r>
        <w:t xml:space="preserve">Hardware · Firmware · Modelo TinyML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Versión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Fecha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 revisión</w:t>
            </w:r>
          </w:p>
        </w:tc>
        <w:tc>
          <w:p>
            <w:pPr>
              <w:pStyle w:val="Compact"/>
              <w:jc w:val="left"/>
            </w:pPr>
            <w:r>
              <w:t xml:space="preserve">0.9</w:t>
            </w:r>
          </w:p>
        </w:tc>
        <w:tc>
          <w:p>
            <w:pPr>
              <w:pStyle w:val="Compact"/>
              <w:jc w:val="left"/>
            </w:pPr>
            <w:r>
              <w:t xml:space="preserve">2026-06-11</w:t>
            </w:r>
          </w:p>
        </w:tc>
      </w:tr>
    </w:tbl>
    <w:p>
      <w:pPr>
        <w:pStyle w:val="BlockText"/>
      </w:pPr>
      <w:r>
        <w:t xml:space="preserve">El kit de validación permite construir tres versiones de nodo; el piloto desplegará una.</w:t>
      </w:r>
      <w:r>
        <w:t xml:space="preserve"> </w:t>
      </w:r>
      <w:r>
        <w:t xml:space="preserve">Esta tabla guía la decisión</w:t>
      </w:r>
      <w:r>
        <w:t xml:space="preserve"> </w:t>
      </w:r>
      <w:r>
        <w:rPr>
          <w:rStyle w:val="VerbatimChar"/>
        </w:rPr>
        <w:t xml:space="preserve">ADR-001</w:t>
      </w:r>
      <w:r>
        <w:t xml:space="preserve">.</w:t>
      </w:r>
    </w:p>
    <w:p>
      <w:pPr>
        <w:pStyle w:val="Heading2"/>
      </w:pPr>
      <w:bookmarkStart w:id="22" w:name="matriz-comparativa"/>
      <w:r>
        <w:t xml:space="preserve">1. Matriz comparativa</w:t>
      </w:r>
      <w:bookmarkEnd w:id="22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Criterio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V1 · MCU TinyML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V2 · IA on-sensor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V3 · NPU Edge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Cómputo</w:t>
            </w:r>
          </w:p>
        </w:tc>
        <w:tc>
          <w:p>
            <w:pPr>
              <w:pStyle w:val="Compact"/>
              <w:jc w:val="left"/>
            </w:pPr>
            <w:r>
              <w:t xml:space="preserve">XIAO ESP32-S3 / NE101</w:t>
            </w:r>
          </w:p>
        </w:tc>
        <w:tc>
          <w:p>
            <w:pPr>
              <w:pStyle w:val="Compact"/>
              <w:jc w:val="left"/>
            </w:pPr>
            <w:r>
              <w:t xml:space="preserve">ESP32-S3 + cámara IA</w:t>
            </w:r>
          </w:p>
        </w:tc>
        <w:tc>
          <w:p>
            <w:pPr>
              <w:pStyle w:val="Compact"/>
              <w:jc w:val="left"/>
            </w:pPr>
            <w:r>
              <w:t xml:space="preserve">Raspberry Pi 5 + AI HAT+ (Hailo-8, 13 TOPS)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Cámara</w:t>
            </w:r>
          </w:p>
        </w:tc>
        <w:tc>
          <w:p>
            <w:pPr>
              <w:pStyle w:val="Compact"/>
              <w:jc w:val="left"/>
            </w:pPr>
            <w:r>
              <w:t xml:space="preserve">OV2640 / OV5640</w:t>
            </w:r>
          </w:p>
        </w:tc>
        <w:tc>
          <w:p>
            <w:pPr>
              <w:pStyle w:val="Compact"/>
              <w:jc w:val="left"/>
            </w:pPr>
            <w:r>
              <w:t xml:space="preserve">Grove Vision AI (Himax) o RPi AI Cam (IMX500)</w:t>
            </w:r>
          </w:p>
        </w:tc>
        <w:tc>
          <w:p>
            <w:pPr>
              <w:pStyle w:val="Compact"/>
              <w:jc w:val="left"/>
            </w:pPr>
            <w:r>
              <w:t xml:space="preserve">RPi AI Cam / OV5640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Dónde infiere</w:t>
            </w:r>
          </w:p>
        </w:tc>
        <w:tc>
          <w:p>
            <w:pPr>
              <w:pStyle w:val="Compact"/>
              <w:jc w:val="left"/>
            </w:pPr>
            <w:r>
              <w:t xml:space="preserve">CNN pequeña en el MCU</w:t>
            </w:r>
          </w:p>
        </w:tc>
        <w:tc>
          <w:p>
            <w:pPr>
              <w:pStyle w:val="Compact"/>
              <w:jc w:val="left"/>
            </w:pPr>
            <w:r>
              <w:t xml:space="preserve">En el sensor (Himax/IMX500)</w:t>
            </w:r>
          </w:p>
        </w:tc>
        <w:tc>
          <w:p>
            <w:pPr>
              <w:pStyle w:val="Compact"/>
              <w:jc w:val="left"/>
            </w:pPr>
            <w:r>
              <w:t xml:space="preserve">Modelo grande en el NPU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Capacidad del modelo</w:t>
            </w:r>
          </w:p>
        </w:tc>
        <w:tc>
          <w:p>
            <w:pPr>
              <w:pStyle w:val="Compact"/>
              <w:jc w:val="left"/>
            </w:pPr>
            <w:r>
              <w:t xml:space="preserve">Baja (clasificación binaria humo/no)</w:t>
            </w:r>
          </w:p>
        </w:tc>
        <w:tc>
          <w:p>
            <w:pPr>
              <w:pStyle w:val="Compact"/>
              <w:jc w:val="left"/>
            </w:pPr>
            <w:r>
              <w:t xml:space="preserve">Media (detección con buen recall)</w:t>
            </w:r>
          </w:p>
        </w:tc>
        <w:tc>
          <w:p>
            <w:pPr>
              <w:pStyle w:val="Compact"/>
              <w:jc w:val="left"/>
            </w:pPr>
            <w:r>
              <w:t xml:space="preserve">Alta (detección robusta, separa humo de niebla/nube)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Consumo (1 h diurno)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0,20 Wh/día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0,30 Wh/día</w:t>
            </w:r>
          </w:p>
        </w:tc>
        <w:tc>
          <w:p>
            <w:pPr>
              <w:pStyle w:val="Compact"/>
              <w:jc w:val="left"/>
            </w:pPr>
            <w:r>
              <w:t xml:space="preserve">1,3 Wh/día (gated) · 41 Wh/día (always-on)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Batería / panel mínimos</w:t>
            </w:r>
          </w:p>
        </w:tc>
        <w:tc>
          <w:p>
            <w:pPr>
              <w:pStyle w:val="Compact"/>
              <w:jc w:val="left"/>
            </w:pPr>
            <w:r>
              <w:t xml:space="preserve">~0,06 Ah / &lt;1 Wp</w:t>
            </w:r>
          </w:p>
        </w:tc>
        <w:tc>
          <w:p>
            <w:pPr>
              <w:pStyle w:val="Compact"/>
              <w:jc w:val="left"/>
            </w:pPr>
            <w:r>
              <w:t xml:space="preserve">~0,09 Ah / &lt;1 Wp</w:t>
            </w:r>
          </w:p>
        </w:tc>
        <w:tc>
          <w:p>
            <w:pPr>
              <w:pStyle w:val="Compact"/>
              <w:jc w:val="left"/>
            </w:pPr>
            <w:r>
              <w:t xml:space="preserve">gated ~0,4 Ah / ~1 Wp · always-on ~12 Ah / ~33 Wp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Costo relativo</w:t>
            </w:r>
          </w:p>
        </w:tc>
        <w:tc>
          <w:p>
            <w:pPr>
              <w:pStyle w:val="Compact"/>
              <w:jc w:val="left"/>
            </w:pPr>
            <w:r>
              <w:t xml:space="preserve">Bajo</w:t>
            </w:r>
          </w:p>
        </w:tc>
        <w:tc>
          <w:p>
            <w:pPr>
              <w:pStyle w:val="Compact"/>
              <w:jc w:val="left"/>
            </w:pPr>
            <w:r>
              <w:t xml:space="preserve">Bajo-medio</w:t>
            </w:r>
          </w:p>
        </w:tc>
        <w:tc>
          <w:p>
            <w:pPr>
              <w:pStyle w:val="Compact"/>
              <w:jc w:val="left"/>
            </w:pPr>
            <w:r>
              <w:t xml:space="preserve">Alto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Complejidad firmware</w:t>
            </w:r>
          </w:p>
        </w:tc>
        <w:tc>
          <w:p>
            <w:pPr>
              <w:pStyle w:val="Compact"/>
              <w:jc w:val="left"/>
            </w:pPr>
            <w:r>
              <w:t xml:space="preserve">Media (TinyML en MCU)</w:t>
            </w:r>
          </w:p>
        </w:tc>
        <w:tc>
          <w:p>
            <w:pPr>
              <w:pStyle w:val="Compact"/>
              <w:jc w:val="left"/>
            </w:pPr>
            <w:r>
              <w:t xml:space="preserve">Baja-media (sensor hace IA)</w:t>
            </w:r>
          </w:p>
        </w:tc>
        <w:tc>
          <w:p>
            <w:pPr>
              <w:pStyle w:val="Compact"/>
              <w:jc w:val="left"/>
            </w:pPr>
            <w:r>
              <w:t xml:space="preserve">Alta (Linux, gestión de arranque/sleep)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Madurez para campo</w:t>
            </w:r>
          </w:p>
        </w:tc>
        <w:tc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p>
            <w:pPr>
              <w:pStyle w:val="Compact"/>
              <w:jc w:val="left"/>
            </w:pPr>
            <w:r>
              <w:t xml:space="preserve">Media (gestión térmica y de energía)</w:t>
            </w:r>
          </w:p>
        </w:tc>
      </w:tr>
    </w:tbl>
    <w:p>
      <w:pPr>
        <w:pStyle w:val="BodyText"/>
      </w:pPr>
      <w:r>
        <w:rPr>
          <w:i/>
        </w:rPr>
        <w:t xml:space="preserve">(Consumos obtenidos de un modelo de energía paramétrico; estimaciones de diseño a validar en EVT.)</w:t>
      </w:r>
    </w:p>
    <w:p>
      <w:pPr>
        <w:pStyle w:val="Heading2"/>
      </w:pPr>
      <w:bookmarkStart w:id="23" w:name="X83d3cb53692c7674424c4e9943e2a0360dd1f7c"/>
      <w:r>
        <w:t xml:space="preserve">2. Configuración por versión (diagrama de bloques)</w:t>
      </w:r>
      <w:bookmarkEnd w:id="23"/>
    </w:p>
    <w:p>
      <w:pPr>
        <w:pStyle w:val="CaptionedFigure"/>
      </w:pPr>
      <w:r>
        <w:drawing>
          <wp:inline>
            <wp:extent cx="5334000" cy="3505711"/>
            <wp:effectExtent b="0" l="0" r="0" t="0"/>
            <wp:docPr descr="Diagrama conceptual de configuración por versión" title="" id="1" name="Picture"/>
            <a:graphic>
              <a:graphicData uri="http://schemas.openxmlformats.org/drawingml/2006/picture">
                <pic:pic>
                  <pic:nvPicPr>
                    <pic:cNvPr descr="../_recursos/diagrama-versiones-nodo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057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conceptual de configuración por versión</w:t>
      </w:r>
    </w:p>
    <w:p>
      <w:pPr>
        <w:pStyle w:val="BodyText"/>
      </w:pPr>
      <w:r>
        <w:t xml:space="preserve">Las tres versiones comparten la misma cadena funcional —</w:t>
      </w:r>
      <w:r>
        <w:rPr>
          <w:b/>
        </w:rPr>
        <w:t xml:space="preserve">sensado → cómputo/inferencia →</w:t>
      </w:r>
      <w:r>
        <w:rPr>
          <w:b/>
        </w:rPr>
        <w:t xml:space="preserve"> </w:t>
      </w:r>
      <w:r>
        <w:rPr>
          <w:b/>
        </w:rPr>
        <w:t xml:space="preserve">comunicación LoRa → gateway → servidor</w:t>
      </w:r>
      <w:r>
        <w:t xml:space="preserve">— y el mismo subsistema de alimentación solar;</w:t>
      </w:r>
      <w:r>
        <w:t xml:space="preserve"> </w:t>
      </w:r>
      <w:r>
        <w:t xml:space="preserve">difieren en</w:t>
      </w:r>
      <w:r>
        <w:t xml:space="preserve"> </w:t>
      </w:r>
      <w:r>
        <w:rPr>
          <w:b/>
        </w:rPr>
        <w:t xml:space="preserve">dónde se ejecuta la inferencia</w:t>
      </w:r>
      <w:r>
        <w:t xml:space="preserve"> </w:t>
      </w:r>
      <w:r>
        <w:t xml:space="preserve">y, por tanto, en la capacidad de cómputo y el</w:t>
      </w:r>
      <w:r>
        <w:t xml:space="preserve"> </w:t>
      </w:r>
      <w:r>
        <w:t xml:space="preserve">consumo.</w:t>
      </w:r>
    </w:p>
    <w:p>
      <w:pPr>
        <w:pStyle w:val="Heading3"/>
      </w:pPr>
      <w:bookmarkStart w:id="25" w:name="lista-mínima-de-componentes-por-versión"/>
      <w:r>
        <w:t xml:space="preserve">Lista mínima de componentes por versión</w:t>
      </w:r>
      <w:bookmarkEnd w:id="25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Componente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V1 · MCU TinyML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V2 · IA on-sensor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V3 · NPU Edge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Cámara</w:t>
            </w:r>
          </w:p>
        </w:tc>
        <w:tc>
          <w:p>
            <w:pPr>
              <w:pStyle w:val="Compact"/>
              <w:jc w:val="left"/>
            </w:pPr>
            <w:r>
              <w:t xml:space="preserve">OV2640 / OV5640</w:t>
            </w:r>
          </w:p>
        </w:tc>
        <w:tc>
          <w:p>
            <w:pPr>
              <w:pStyle w:val="Compact"/>
              <w:jc w:val="left"/>
            </w:pPr>
            <w:r>
              <w:t xml:space="preserve">Himax Vision AI / IMX500</w:t>
            </w:r>
          </w:p>
        </w:tc>
        <w:tc>
          <w:p>
            <w:pPr>
              <w:pStyle w:val="Compact"/>
              <w:jc w:val="left"/>
            </w:pPr>
            <w:r>
              <w:t xml:space="preserve">RPi AI Cam / OV5640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Cómputo</w:t>
            </w:r>
          </w:p>
        </w:tc>
        <w:tc>
          <w:p>
            <w:pPr>
              <w:pStyle w:val="Compact"/>
              <w:jc w:val="left"/>
            </w:pPr>
            <w:r>
              <w:t xml:space="preserve">ESP32-S3</w:t>
            </w:r>
          </w:p>
        </w:tc>
        <w:tc>
          <w:p>
            <w:pPr>
              <w:pStyle w:val="Compact"/>
              <w:jc w:val="left"/>
            </w:pPr>
            <w:r>
              <w:t xml:space="preserve">ESP32-S3</w:t>
            </w:r>
          </w:p>
        </w:tc>
        <w:tc>
          <w:p>
            <w:pPr>
              <w:pStyle w:val="Compact"/>
              <w:jc w:val="left"/>
            </w:pPr>
            <w:r>
              <w:t xml:space="preserve">Raspberry Pi 5 + AI HAT+ (Hailo-8)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Radio LoRa</w:t>
            </w:r>
          </w:p>
        </w:tc>
        <w:tc>
          <w:p>
            <w:pPr>
              <w:pStyle w:val="Compact"/>
              <w:jc w:val="left"/>
            </w:pPr>
            <w:r>
              <w:t xml:space="preserve">SX126x integrada</w:t>
            </w:r>
          </w:p>
        </w:tc>
        <w:tc>
          <w:p>
            <w:pPr>
              <w:pStyle w:val="Compact"/>
              <w:jc w:val="left"/>
            </w:pPr>
            <w:r>
              <w:t xml:space="preserve">SX126x integrada</w:t>
            </w:r>
          </w:p>
        </w:tc>
        <w:tc>
          <w:p>
            <w:pPr>
              <w:pStyle w:val="Compact"/>
              <w:jc w:val="left"/>
            </w:pPr>
            <w:r>
              <w:t xml:space="preserve">SX126x (vía MCU)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Almacenamiento</w:t>
            </w:r>
          </w:p>
        </w:tc>
        <w:tc>
          <w:p>
            <w:pPr>
              <w:pStyle w:val="Compact"/>
              <w:jc w:val="left"/>
            </w:pPr>
            <w:r>
              <w:t xml:space="preserve">microSD (opcional)</w:t>
            </w:r>
          </w:p>
        </w:tc>
        <w:tc>
          <w:p>
            <w:pPr>
              <w:pStyle w:val="Compact"/>
              <w:jc w:val="left"/>
            </w:pPr>
            <w:r>
              <w:t xml:space="preserve">microSD (opcional)</w:t>
            </w:r>
          </w:p>
        </w:tc>
        <w:tc>
          <w:p>
            <w:pPr>
              <w:pStyle w:val="Compact"/>
              <w:jc w:val="left"/>
            </w:pPr>
            <w:r>
              <w:t xml:space="preserve">microSD / SSD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Panel / Batería / MPPT</w:t>
            </w:r>
          </w:p>
        </w:tc>
        <w:tc>
          <w:p>
            <w:pPr>
              <w:pStyle w:val="Compact"/>
              <w:jc w:val="left"/>
            </w:pPr>
            <w:r>
              <w:t xml:space="preserve">10 Wp / 7–10 Ah / 10 A</w:t>
            </w:r>
          </w:p>
        </w:tc>
        <w:tc>
          <w:p>
            <w:pPr>
              <w:pStyle w:val="Compact"/>
              <w:jc w:val="left"/>
            </w:pPr>
            <w:r>
              <w:t xml:space="preserve">10 Wp / 7–10 Ah / 10 A</w:t>
            </w:r>
          </w:p>
        </w:tc>
        <w:tc>
          <w:p>
            <w:pPr>
              <w:pStyle w:val="Compact"/>
              <w:jc w:val="left"/>
            </w:pPr>
            <w:r>
              <w:t xml:space="preserve">≥40 Wp / ≥12 Ah / 10–20 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Antena LoRa</w:t>
            </w:r>
          </w:p>
        </w:tc>
        <w:tc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p>
            <w:pPr>
              <w:pStyle w:val="Compact"/>
              <w:jc w:val="left"/>
            </w:pPr>
            <w:r>
              <w:t xml:space="preserve">Sí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Carcasa</w:t>
            </w:r>
          </w:p>
        </w:tc>
        <w:tc>
          <w:p>
            <w:pPr>
              <w:pStyle w:val="Compact"/>
              <w:jc w:val="left"/>
            </w:pPr>
            <w:r>
              <w:t xml:space="preserve">IP67</w:t>
            </w:r>
          </w:p>
        </w:tc>
        <w:tc>
          <w:p>
            <w:pPr>
              <w:pStyle w:val="Compact"/>
              <w:jc w:val="left"/>
            </w:pPr>
            <w:r>
              <w:t xml:space="preserve">IP67</w:t>
            </w:r>
          </w:p>
        </w:tc>
        <w:tc>
          <w:p>
            <w:pPr>
              <w:pStyle w:val="Compact"/>
              <w:jc w:val="left"/>
            </w:pPr>
            <w:r>
              <w:t xml:space="preserve">IP67 + disipación térmica</w:t>
            </w:r>
          </w:p>
        </w:tc>
      </w:tr>
    </w:tbl>
    <w:p>
      <w:pPr>
        <w:pStyle w:val="BodyText"/>
      </w:pPr>
      <w:r>
        <w:rPr>
          <w:b/>
        </w:rPr>
        <w:t xml:space="preserve">Común a las tres versiones:</w:t>
      </w:r>
      <w:r>
        <w:t xml:space="preserve"> </w:t>
      </w:r>
      <w:r>
        <w:t xml:space="preserve">gateway Milesight UG67 (LoRaWAN + 4G) y servidor/plataforma de</w:t>
      </w:r>
      <w:r>
        <w:t xml:space="preserve"> </w:t>
      </w:r>
      <w:r>
        <w:t xml:space="preserve">recepción que decodifica el payload.</w:t>
      </w:r>
    </w:p>
    <w:p>
      <w:pPr>
        <w:pStyle w:val="Heading2"/>
      </w:pPr>
      <w:bookmarkStart w:id="26" w:name="lectura-de-los-resultados"/>
      <w:r>
        <w:t xml:space="preserve">3. Lectura de los resultados</w:t>
      </w:r>
      <w:bookmarkEnd w:id="26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V1 y V2 presentan un consumo equivalente</w:t>
      </w:r>
      <w:r>
        <w:t xml:space="preserve"> </w:t>
      </w:r>
      <w:r>
        <w:t xml:space="preserve">(~0,2–0,3 Wh/día), dominado por el standby; el</w:t>
      </w:r>
      <w:r>
        <w:t xml:space="preserve"> </w:t>
      </w:r>
      <w:r>
        <w:t xml:space="preserve">intervalo de captura no es significativo energéticamente (véase «Cadencia de captura y política de muestreo»). La</w:t>
      </w:r>
      <w:r>
        <w:t xml:space="preserve"> </w:t>
      </w:r>
      <w:r>
        <w:t xml:space="preserve">diferencia entre ambas reside en la</w:t>
      </w:r>
      <w:r>
        <w:t xml:space="preserve"> </w:t>
      </w:r>
      <w:r>
        <w:rPr>
          <w:b/>
        </w:rPr>
        <w:t xml:space="preserve">precisión del modelo</w:t>
      </w:r>
      <w:r>
        <w:t xml:space="preserve">, no en el consumo.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V3 solo es viable con disparo por evento / arranque controlado</w:t>
      </w:r>
      <w:r>
        <w:t xml:space="preserve"> </w:t>
      </w:r>
      <w:r>
        <w:t xml:space="preserve">(1–2 Wh/día). En modo</w:t>
      </w:r>
      <w:r>
        <w:t xml:space="preserve"> </w:t>
      </w:r>
      <w:r>
        <w:rPr>
          <w:i/>
        </w:rPr>
        <w:t xml:space="preserve">always-on</w:t>
      </w:r>
      <w:r>
        <w:t xml:space="preserve"> </w:t>
      </w:r>
      <w:r>
        <w:t xml:space="preserve">consume ~41 Wh/día — 100× más — y exige el sistema solar grande.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Con nodos V1/V2, el gateway UG67 (86 Wh/día) es el componente dominante del sistema</w:t>
      </w:r>
      <w:r>
        <w:t xml:space="preserve"> </w:t>
      </w:r>
      <w:r>
        <w:t xml:space="preserve">(ver gráfico</w:t>
      </w:r>
      <w:r>
        <w:t xml:space="preserve"> </w:t>
      </w:r>
      <w:r>
        <w:t xml:space="preserve">el gráfico de energía del sistema).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Energía por versión" title="" id="1" name="Picture"/>
            <a:graphic>
              <a:graphicData uri="http://schemas.openxmlformats.org/drawingml/2006/picture">
                <pic:pic>
                  <pic:nvPicPr>
                    <pic:cNvPr descr="../_recursos/energia-por-version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2963333"/>
            <wp:effectExtent b="0" l="0" r="0" t="0"/>
            <wp:docPr descr="Energía del sistema vs nodos" title="" id="1" name="Picture"/>
            <a:graphic>
              <a:graphicData uri="http://schemas.openxmlformats.org/drawingml/2006/picture">
                <pic:pic>
                  <pic:nvPicPr>
                    <pic:cNvPr descr="../_recursos/energia-sistema-vs-nodo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2"/>
      </w:pPr>
      <w:bookmarkStart w:id="29" w:name="plan-de-comparación-evt"/>
      <w:r>
        <w:t xml:space="preserve">4. Plan de comparación (EVT)</w:t>
      </w:r>
      <w:bookmarkEnd w:id="29"/>
    </w:p>
    <w:p>
      <w:pPr>
        <w:pStyle w:val="FirstParagraph"/>
      </w:pPr>
      <w:r>
        <w:t xml:space="preserve">Durante EVT se medirá en banco, por versión: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Consumo real</w:t>
      </w:r>
      <w:r>
        <w:t xml:space="preserve"> </w:t>
      </w:r>
      <w:r>
        <w:t xml:space="preserve">por modo (sleep, captura, inferencia, TX) — valida el modelo de energía.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Desempeño del modelo TinyML</w:t>
      </w:r>
      <w:r>
        <w:t xml:space="preserve"> </w:t>
      </w:r>
      <w:r>
        <w:t xml:space="preserve">de detección de columnas de humo: precisión, recall y</w:t>
      </w:r>
      <w:r>
        <w:t xml:space="preserve"> </w:t>
      </w:r>
      <w:r>
        <w:rPr>
          <w:b/>
        </w:rPr>
        <w:t xml:space="preserve">tasa de falsos positivos</w:t>
      </w:r>
      <w:r>
        <w:t xml:space="preserve"> </w:t>
      </w:r>
      <w:r>
        <w:t xml:space="preserve">(determinante con niebla/nubes amazónicas) — dataset tipo PyroNear [R03].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Latencia</w:t>
      </w:r>
      <w:r>
        <w:t xml:space="preserve"> </w:t>
      </w:r>
      <w:r>
        <w:t xml:space="preserve">captura→alerta y alcance LoRa en selva.</w:t>
      </w:r>
    </w:p>
    <w:p>
      <w:pPr>
        <w:pStyle w:val="Heading2"/>
      </w:pPr>
      <w:bookmarkStart w:id="30" w:name="recomendación-preliminar"/>
      <w:r>
        <w:t xml:space="preserve">5. Recomendación preliminar</w:t>
      </w:r>
      <w:bookmarkEnd w:id="30"/>
    </w:p>
    <w:p>
      <w:pPr>
        <w:pStyle w:val="BlockText"/>
      </w:pPr>
      <w:r>
        <w:rPr>
          <w:b/>
        </w:rPr>
        <w:t xml:space="preserve">V2 (IA on-sensor)</w:t>
      </w:r>
      <w:r>
        <w:t xml:space="preserve"> </w:t>
      </w:r>
      <w:r>
        <w:t xml:space="preserve">como candidata principal del piloto: mejor relación precisión/consumo</w:t>
      </w:r>
      <w:r>
        <w:t xml:space="preserve"> </w:t>
      </w:r>
      <w:r>
        <w:t xml:space="preserve">y menor complejidad de firmware (la inferencia se ejecuta en el sensor).</w:t>
      </w:r>
      <w:r>
        <w:t xml:space="preserve"> </w:t>
      </w:r>
      <w:r>
        <w:rPr>
          <w:b/>
        </w:rPr>
        <w:t xml:space="preserve">V1</w:t>
      </w:r>
      <w:r>
        <w:t xml:space="preserve"> </w:t>
      </w:r>
      <w:r>
        <w:t xml:space="preserve">como respaldo de mínimo costo/energía,</w:t>
      </w:r>
      <w:r>
        <w:t xml:space="preserve"> </w:t>
      </w:r>
      <w:r>
        <w:t xml:space="preserve">y</w:t>
      </w:r>
      <w:r>
        <w:t xml:space="preserve"> </w:t>
      </w:r>
      <w:r>
        <w:rPr>
          <w:b/>
        </w:rPr>
        <w:t xml:space="preserve">V3</w:t>
      </w:r>
      <w:r>
        <w:t xml:space="preserve"> </w:t>
      </w:r>
      <w:r>
        <w:t xml:space="preserve">como referencia de precisión para</w:t>
      </w:r>
      <w:r>
        <w:t xml:space="preserve"> </w:t>
      </w:r>
      <w:r>
        <w:rPr>
          <w:i/>
        </w:rPr>
        <w:t xml:space="preserve">benchmark</w:t>
      </w:r>
      <w:r>
        <w:t xml:space="preserve">. Decisión final tras medir</w:t>
      </w:r>
      <w:r>
        <w:t xml:space="preserve"> </w:t>
      </w:r>
      <w:r>
        <w:t xml:space="preserve">desempeño del modelo en EVT →</w:t>
      </w:r>
      <w:r>
        <w:t xml:space="preserve"> </w:t>
      </w:r>
      <w:r>
        <w:rPr>
          <w:rStyle w:val="VerbatimChar"/>
        </w:rPr>
        <w:t xml:space="preserve">ADR-001</w:t>
      </w:r>
      <w:r>
        <w:t xml:space="preserve">.</w:t>
      </w:r>
    </w:p>
    <w:p>
      <w:pPr>
        <w:pStyle w:val="Heading2"/>
      </w:pPr>
      <w:bookmarkStart w:id="31" w:name="referencias"/>
      <w:r>
        <w:t xml:space="preserve">Referencias</w:t>
      </w:r>
      <w:bookmarkEnd w:id="31"/>
    </w:p>
    <w:p>
      <w:pPr>
        <w:numPr>
          <w:ilvl w:val="0"/>
          <w:numId w:val="1002"/>
        </w:numPr>
        <w:pStyle w:val="Compact"/>
      </w:pPr>
      <w:r>
        <w:t xml:space="preserve">[R03] Constructing a Real-World Benchmark for Early Wildfire Detection with the PyroNear-2025 Dataset (arXiv:2402.05349). https://arxiv.org/abs/2402.05349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28" Target="media/rId28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2026-06-12T05:20:36Z</dcterms:created>
  <dcterms:modified xsi:type="dcterms:W3CDTF">2026-06-12T05:20:36Z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